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9F2746" w:rsidRDefault="00156262">
      <w:pPr>
        <w:pBdr>
          <w:top w:val="nil"/>
          <w:left w:val="nil"/>
          <w:bottom w:val="nil"/>
          <w:right w:val="nil"/>
          <w:between w:val="nil"/>
        </w:pBdr>
        <w:spacing w:line="360" w:lineRule="auto"/>
        <w:ind w:left="1" w:hanging="3"/>
        <w:jc w:val="center"/>
        <w:rPr>
          <w:b/>
          <w:color w:val="000000"/>
          <w:sz w:val="28"/>
          <w:szCs w:val="28"/>
        </w:rPr>
      </w:pPr>
      <w:bookmarkStart w:id="0" w:name="_GoBack"/>
      <w:bookmarkEnd w:id="0"/>
      <w:r>
        <w:rPr>
          <w:b/>
          <w:color w:val="000000"/>
          <w:sz w:val="28"/>
          <w:szCs w:val="28"/>
        </w:rPr>
        <w:t xml:space="preserve">UFFICIO DEL GIUDICE DI PACE DI </w:t>
      </w:r>
      <w:r w:rsidRPr="003F7401">
        <w:rPr>
          <w:b/>
          <w:color w:val="000000"/>
          <w:sz w:val="28"/>
          <w:szCs w:val="28"/>
          <w:highlight w:val="yellow"/>
        </w:rPr>
        <w:t xml:space="preserve">____________ </w:t>
      </w:r>
      <w:r w:rsidRPr="003F7401">
        <w:rPr>
          <w:b/>
          <w:color w:val="000000"/>
          <w:sz w:val="28"/>
          <w:szCs w:val="28"/>
          <w:highlight w:val="yellow"/>
          <w:vertAlign w:val="superscript"/>
        </w:rPr>
        <w:footnoteReference w:id="1"/>
      </w:r>
    </w:p>
    <w:p w14:paraId="5A19FC92" w14:textId="77777777" w:rsidR="00EB4124" w:rsidRDefault="00EB4124">
      <w:pPr>
        <w:pBdr>
          <w:top w:val="nil"/>
          <w:left w:val="nil"/>
          <w:bottom w:val="nil"/>
          <w:right w:val="nil"/>
          <w:between w:val="nil"/>
        </w:pBdr>
        <w:spacing w:line="360" w:lineRule="auto"/>
        <w:ind w:left="0" w:hanging="2"/>
        <w:jc w:val="center"/>
        <w:rPr>
          <w:b/>
          <w:i/>
          <w:color w:val="000000"/>
        </w:rPr>
      </w:pPr>
    </w:p>
    <w:p w14:paraId="6407F4F7" w14:textId="25BAFFDB" w:rsidR="00EB4124" w:rsidRPr="00EB4124" w:rsidRDefault="00EB4124">
      <w:pPr>
        <w:pBdr>
          <w:top w:val="nil"/>
          <w:left w:val="nil"/>
          <w:bottom w:val="nil"/>
          <w:right w:val="nil"/>
          <w:between w:val="nil"/>
        </w:pBdr>
        <w:spacing w:line="360" w:lineRule="auto"/>
        <w:ind w:left="0" w:hanging="2"/>
        <w:jc w:val="center"/>
        <w:rPr>
          <w:b/>
          <w:i/>
          <w:color w:val="000000"/>
          <w:u w:val="single"/>
        </w:rPr>
      </w:pPr>
      <w:r>
        <w:rPr>
          <w:b/>
          <w:i/>
          <w:color w:val="000000"/>
          <w:u w:val="single"/>
        </w:rPr>
        <w:t>RICORSO</w:t>
      </w:r>
    </w:p>
    <w:p w14:paraId="00000002" w14:textId="31FB4A53" w:rsidR="009F2746" w:rsidRDefault="00156262">
      <w:pPr>
        <w:pBdr>
          <w:top w:val="nil"/>
          <w:left w:val="nil"/>
          <w:bottom w:val="nil"/>
          <w:right w:val="nil"/>
          <w:between w:val="nil"/>
        </w:pBdr>
        <w:spacing w:line="360" w:lineRule="auto"/>
        <w:ind w:left="0" w:hanging="2"/>
        <w:jc w:val="center"/>
        <w:rPr>
          <w:b/>
          <w:i/>
          <w:color w:val="000000"/>
          <w:highlight w:val="yellow"/>
        </w:rPr>
      </w:pPr>
      <w:r>
        <w:rPr>
          <w:b/>
          <w:i/>
          <w:color w:val="000000"/>
        </w:rPr>
        <w:t>in opposizione ad avviso di addebito n.</w:t>
      </w:r>
      <w:r w:rsidRPr="003F7401">
        <w:rPr>
          <w:b/>
          <w:i/>
          <w:color w:val="000000"/>
          <w:highlight w:val="yellow"/>
        </w:rPr>
        <w:t>_____________</w:t>
      </w:r>
      <w:r w:rsidRPr="003F7401">
        <w:rPr>
          <w:b/>
          <w:i/>
          <w:color w:val="000000"/>
          <w:highlight w:val="yellow"/>
          <w:vertAlign w:val="superscript"/>
        </w:rPr>
        <w:footnoteReference w:id="2"/>
      </w:r>
    </w:p>
    <w:p w14:paraId="105F3177" w14:textId="300C4BD6" w:rsidR="00EB4124" w:rsidRPr="00EB4124" w:rsidRDefault="00EB4124">
      <w:pPr>
        <w:pBdr>
          <w:top w:val="nil"/>
          <w:left w:val="nil"/>
          <w:bottom w:val="nil"/>
          <w:right w:val="nil"/>
          <w:between w:val="nil"/>
        </w:pBdr>
        <w:spacing w:line="360" w:lineRule="auto"/>
        <w:ind w:left="0" w:hanging="2"/>
        <w:jc w:val="center"/>
        <w:rPr>
          <w:b/>
          <w:color w:val="000000"/>
        </w:rPr>
      </w:pPr>
      <w:r w:rsidRPr="00EB4124">
        <w:rPr>
          <w:b/>
          <w:color w:val="000000"/>
        </w:rPr>
        <w:t>Per</w:t>
      </w:r>
    </w:p>
    <w:p w14:paraId="00000003" w14:textId="77777777" w:rsidR="009F2746" w:rsidRDefault="00156262">
      <w:pPr>
        <w:pBdr>
          <w:top w:val="nil"/>
          <w:left w:val="nil"/>
          <w:bottom w:val="nil"/>
          <w:right w:val="nil"/>
          <w:between w:val="nil"/>
        </w:pBdr>
        <w:spacing w:line="360" w:lineRule="auto"/>
        <w:ind w:left="0" w:hanging="2"/>
        <w:jc w:val="both"/>
        <w:rPr>
          <w:color w:val="000000"/>
        </w:rPr>
      </w:pPr>
      <w:r w:rsidRPr="00EF4909">
        <w:rPr>
          <w:color w:val="000000"/>
          <w:highlight w:val="yellow"/>
        </w:rPr>
        <w:t>Il / La Sig. / Sig.ra</w:t>
      </w:r>
      <w:r>
        <w:rPr>
          <w:color w:val="000000"/>
        </w:rPr>
        <w:t xml:space="preserve"> </w:t>
      </w:r>
      <w:r w:rsidRPr="003F7401">
        <w:rPr>
          <w:color w:val="000000"/>
          <w:highlight w:val="yellow"/>
        </w:rPr>
        <w:t>__________</w:t>
      </w:r>
      <w:r w:rsidRPr="003F7401">
        <w:rPr>
          <w:b/>
          <w:color w:val="000000"/>
          <w:highlight w:val="yellow"/>
        </w:rPr>
        <w:t>,</w:t>
      </w:r>
      <w:r w:rsidRPr="003F7401">
        <w:rPr>
          <w:color w:val="000000"/>
          <w:highlight w:val="yellow"/>
        </w:rPr>
        <w:t xml:space="preserve"> nato il ________ a _________</w:t>
      </w:r>
      <w:proofErr w:type="gramStart"/>
      <w:r w:rsidRPr="003F7401">
        <w:rPr>
          <w:color w:val="000000"/>
          <w:highlight w:val="yellow"/>
        </w:rPr>
        <w:t>_  (</w:t>
      </w:r>
      <w:proofErr w:type="gramEnd"/>
      <w:r w:rsidRPr="003F7401">
        <w:rPr>
          <w:color w:val="000000"/>
          <w:highlight w:val="yellow"/>
        </w:rPr>
        <w:t>prov. __)</w:t>
      </w:r>
      <w:r w:rsidRPr="003F7401">
        <w:rPr>
          <w:b/>
          <w:color w:val="000000"/>
          <w:highlight w:val="yellow"/>
        </w:rPr>
        <w:t xml:space="preserve"> (</w:t>
      </w:r>
      <w:proofErr w:type="gramStart"/>
      <w:r w:rsidRPr="003F7401">
        <w:rPr>
          <w:color w:val="000000"/>
          <w:highlight w:val="yellow"/>
        </w:rPr>
        <w:t>CF:_</w:t>
      </w:r>
      <w:proofErr w:type="gramEnd"/>
      <w:r w:rsidRPr="003F7401">
        <w:rPr>
          <w:color w:val="000000"/>
          <w:highlight w:val="yellow"/>
        </w:rPr>
        <w:t>_______________</w:t>
      </w:r>
      <w:r w:rsidRPr="003F7401">
        <w:rPr>
          <w:b/>
          <w:color w:val="000000"/>
          <w:highlight w:val="yellow"/>
        </w:rPr>
        <w:t>),</w:t>
      </w:r>
      <w:r w:rsidRPr="003F7401">
        <w:rPr>
          <w:color w:val="000000"/>
          <w:highlight w:val="yellow"/>
        </w:rPr>
        <w:t xml:space="preserve"> residente in ______________ (prov. __)</w:t>
      </w:r>
      <w:r w:rsidRPr="003F7401">
        <w:rPr>
          <w:b/>
          <w:color w:val="000000"/>
          <w:highlight w:val="yellow"/>
        </w:rPr>
        <w:t xml:space="preserve"> </w:t>
      </w:r>
      <w:r w:rsidRPr="003F7401">
        <w:rPr>
          <w:color w:val="000000"/>
          <w:highlight w:val="yellow"/>
        </w:rPr>
        <w:t>alla Via ____________</w:t>
      </w:r>
      <w:r>
        <w:rPr>
          <w:color w:val="000000"/>
        </w:rPr>
        <w:t xml:space="preserve"> rappresentata e difesa da sé stessa ai sensi dell’art.82 c.p.c. e con espressa dichiarazione di voler ricevere eventuali comunicazioni e notifiche al seguente indirizzo </w:t>
      </w:r>
      <w:r w:rsidRPr="003F7401">
        <w:rPr>
          <w:color w:val="000000"/>
          <w:highlight w:val="yellow"/>
        </w:rPr>
        <w:t>___________</w:t>
      </w:r>
      <w:r>
        <w:rPr>
          <w:color w:val="000000"/>
        </w:rPr>
        <w:t xml:space="preserve"> </w:t>
      </w:r>
      <w:r>
        <w:rPr>
          <w:i/>
          <w:color w:val="000000"/>
        </w:rPr>
        <w:t xml:space="preserve">ovvero all’indirizzo di posta elettronica certificata: </w:t>
      </w:r>
      <w:r w:rsidRPr="003F7401">
        <w:rPr>
          <w:i/>
          <w:color w:val="000000"/>
          <w:highlight w:val="yellow"/>
        </w:rPr>
        <w:t>_____________</w:t>
      </w:r>
      <w:r w:rsidRPr="003F7401">
        <w:rPr>
          <w:i/>
          <w:color w:val="000000"/>
          <w:highlight w:val="yellow"/>
          <w:vertAlign w:val="superscript"/>
        </w:rPr>
        <w:footnoteReference w:id="3"/>
      </w:r>
    </w:p>
    <w:p w14:paraId="00000004" w14:textId="77777777" w:rsidR="009F2746" w:rsidRDefault="00156262">
      <w:pPr>
        <w:pBdr>
          <w:top w:val="nil"/>
          <w:left w:val="nil"/>
          <w:bottom w:val="nil"/>
          <w:right w:val="nil"/>
          <w:between w:val="nil"/>
        </w:pBdr>
        <w:spacing w:line="360" w:lineRule="auto"/>
        <w:ind w:left="0" w:hanging="2"/>
        <w:jc w:val="center"/>
        <w:rPr>
          <w:color w:val="000000"/>
        </w:rPr>
      </w:pPr>
      <w:r>
        <w:rPr>
          <w:b/>
          <w:color w:val="000000"/>
        </w:rPr>
        <w:t>CONTRO</w:t>
      </w:r>
    </w:p>
    <w:p w14:paraId="00000005" w14:textId="5308485A" w:rsidR="009F2746" w:rsidRDefault="00156262">
      <w:pPr>
        <w:pBdr>
          <w:top w:val="nil"/>
          <w:left w:val="nil"/>
          <w:bottom w:val="nil"/>
          <w:right w:val="nil"/>
          <w:between w:val="nil"/>
        </w:pBdr>
        <w:spacing w:line="360" w:lineRule="auto"/>
        <w:ind w:left="0" w:right="594" w:hanging="2"/>
        <w:jc w:val="both"/>
        <w:rPr>
          <w:i/>
          <w:color w:val="000000"/>
        </w:rPr>
      </w:pPr>
      <w:r>
        <w:rPr>
          <w:b/>
          <w:color w:val="000000"/>
        </w:rPr>
        <w:t xml:space="preserve">L’Agenzia delle Entrate Riscossione di </w:t>
      </w:r>
      <w:r w:rsidRPr="003F7401">
        <w:rPr>
          <w:b/>
          <w:color w:val="000000"/>
          <w:highlight w:val="yellow"/>
        </w:rPr>
        <w:t>______</w:t>
      </w:r>
      <w:r w:rsidR="003F7401">
        <w:rPr>
          <w:color w:val="000000"/>
          <w:vertAlign w:val="superscript"/>
        </w:rPr>
        <w:footnoteReference w:id="4"/>
      </w:r>
      <w:r>
        <w:rPr>
          <w:b/>
          <w:color w:val="000000"/>
        </w:rPr>
        <w:t xml:space="preserve">, </w:t>
      </w:r>
      <w:r>
        <w:rPr>
          <w:color w:val="000000"/>
        </w:rPr>
        <w:t xml:space="preserve">in persona del legale rappresentante </w:t>
      </w:r>
      <w:proofErr w:type="spellStart"/>
      <w:r>
        <w:rPr>
          <w:color w:val="000000"/>
        </w:rPr>
        <w:t>p.t.</w:t>
      </w:r>
      <w:proofErr w:type="spellEnd"/>
      <w:r>
        <w:rPr>
          <w:color w:val="000000"/>
        </w:rPr>
        <w:t>, sita in ______ domiciliata ex lege presso l’Avvocatura distrettuale dello Stato</w:t>
      </w:r>
      <w:r w:rsidR="00686D4A">
        <w:rPr>
          <w:color w:val="000000"/>
        </w:rPr>
        <w:t>.</w:t>
      </w:r>
    </w:p>
    <w:p w14:paraId="00000006" w14:textId="77777777" w:rsidR="009F2746" w:rsidRDefault="00156262">
      <w:pPr>
        <w:pBdr>
          <w:top w:val="nil"/>
          <w:left w:val="nil"/>
          <w:bottom w:val="nil"/>
          <w:right w:val="nil"/>
          <w:between w:val="nil"/>
        </w:pBdr>
        <w:spacing w:line="360" w:lineRule="auto"/>
        <w:ind w:left="0" w:hanging="2"/>
        <w:jc w:val="center"/>
        <w:rPr>
          <w:color w:val="000000"/>
        </w:rPr>
      </w:pPr>
      <w:r>
        <w:rPr>
          <w:b/>
          <w:color w:val="000000"/>
        </w:rPr>
        <w:t>AVVERSO</w:t>
      </w:r>
    </w:p>
    <w:p w14:paraId="00000007" w14:textId="6931EB1E" w:rsidR="009F2746" w:rsidRDefault="00156262">
      <w:pPr>
        <w:pBdr>
          <w:top w:val="nil"/>
          <w:left w:val="nil"/>
          <w:bottom w:val="nil"/>
          <w:right w:val="nil"/>
          <w:between w:val="nil"/>
        </w:pBdr>
        <w:spacing w:line="360" w:lineRule="auto"/>
        <w:ind w:left="0" w:hanging="2"/>
        <w:jc w:val="both"/>
        <w:rPr>
          <w:color w:val="000000"/>
        </w:rPr>
      </w:pPr>
      <w:r>
        <w:rPr>
          <w:color w:val="000000"/>
        </w:rPr>
        <w:t xml:space="preserve">L’avviso di addebito n. </w:t>
      </w:r>
      <w:r w:rsidRPr="003F7401">
        <w:rPr>
          <w:color w:val="000000"/>
          <w:highlight w:val="yellow"/>
        </w:rPr>
        <w:t>_____________</w:t>
      </w:r>
      <w:r>
        <w:rPr>
          <w:color w:val="000000"/>
        </w:rPr>
        <w:t xml:space="preserve"> notificato in data </w:t>
      </w:r>
      <w:r w:rsidRPr="003F7401">
        <w:rPr>
          <w:color w:val="000000"/>
          <w:highlight w:val="yellow"/>
        </w:rPr>
        <w:t>_______</w:t>
      </w:r>
      <w:r w:rsidR="003F7401" w:rsidRPr="003F7401">
        <w:rPr>
          <w:rStyle w:val="Rimandonotaapidipagina"/>
          <w:color w:val="000000"/>
          <w:highlight w:val="yellow"/>
        </w:rPr>
        <w:footnoteReference w:id="5"/>
      </w:r>
      <w:r>
        <w:rPr>
          <w:color w:val="000000"/>
        </w:rPr>
        <w:t>, con il quale è stata irrogata al ricorrente la sanzione amministrativa di €</w:t>
      </w:r>
      <w:r>
        <w:t xml:space="preserve"> </w:t>
      </w:r>
      <w:r>
        <w:rPr>
          <w:color w:val="000000"/>
        </w:rPr>
        <w:t>100,00 (cento</w:t>
      </w:r>
      <w:r w:rsidR="003F7401">
        <w:rPr>
          <w:color w:val="000000"/>
        </w:rPr>
        <w:t xml:space="preserve"> </w:t>
      </w:r>
      <w:r>
        <w:rPr>
          <w:color w:val="000000"/>
        </w:rPr>
        <w:t xml:space="preserve">euro) in quanto alla data del 15/06/2022 non ha iniziato il ciclo vaccinale primario ex art. </w:t>
      </w:r>
      <w:r>
        <w:t xml:space="preserve">4-sexies del decreto-legge n. 44 del 2021, convertito con legge n. 76/2021 </w:t>
      </w:r>
      <w:proofErr w:type="spellStart"/>
      <w:r>
        <w:t>s.m.i.</w:t>
      </w:r>
      <w:proofErr w:type="spellEnd"/>
    </w:p>
    <w:p w14:paraId="00000008" w14:textId="77777777" w:rsidR="009F2746" w:rsidRDefault="00156262">
      <w:pPr>
        <w:pBdr>
          <w:top w:val="nil"/>
          <w:left w:val="nil"/>
          <w:bottom w:val="nil"/>
          <w:right w:val="nil"/>
          <w:between w:val="nil"/>
        </w:pBdr>
        <w:spacing w:line="360" w:lineRule="auto"/>
        <w:ind w:left="0" w:hanging="2"/>
        <w:jc w:val="center"/>
        <w:rPr>
          <w:color w:val="000000"/>
        </w:rPr>
      </w:pPr>
      <w:r>
        <w:rPr>
          <w:b/>
          <w:color w:val="000000"/>
        </w:rPr>
        <w:t>PREMESSO CHE</w:t>
      </w:r>
    </w:p>
    <w:p w14:paraId="00000009" w14:textId="77777777" w:rsidR="009F2746" w:rsidRDefault="00156262">
      <w:pPr>
        <w:widowControl w:val="0"/>
        <w:pBdr>
          <w:top w:val="nil"/>
          <w:left w:val="nil"/>
          <w:bottom w:val="nil"/>
          <w:right w:val="nil"/>
          <w:between w:val="nil"/>
        </w:pBdr>
        <w:tabs>
          <w:tab w:val="left" w:pos="851"/>
          <w:tab w:val="left" w:pos="1276"/>
          <w:tab w:val="left" w:pos="1418"/>
          <w:tab w:val="left" w:pos="1560"/>
          <w:tab w:val="left" w:pos="7938"/>
          <w:tab w:val="left" w:pos="8505"/>
        </w:tabs>
        <w:spacing w:line="360" w:lineRule="auto"/>
        <w:ind w:left="0" w:hanging="2"/>
        <w:jc w:val="both"/>
        <w:rPr>
          <w:color w:val="000000"/>
        </w:rPr>
      </w:pPr>
      <w:r>
        <w:rPr>
          <w:color w:val="000000"/>
        </w:rPr>
        <w:t xml:space="preserve">L’istante ha ricevuto in data </w:t>
      </w:r>
      <w:r w:rsidRPr="003F7401">
        <w:rPr>
          <w:color w:val="000000"/>
          <w:highlight w:val="yellow"/>
        </w:rPr>
        <w:t>_______</w:t>
      </w:r>
      <w:r>
        <w:rPr>
          <w:color w:val="000000"/>
        </w:rPr>
        <w:t xml:space="preserve"> comunicazione di avvio del procedimento sanzionatorio </w:t>
      </w:r>
      <w:bookmarkStart w:id="2" w:name="_Hlk122506345"/>
      <w:r w:rsidRPr="003F7401">
        <w:rPr>
          <w:i/>
          <w:color w:val="000000"/>
          <w:highlight w:val="yellow"/>
        </w:rPr>
        <w:t>al quale non ha dato risposta</w:t>
      </w:r>
      <w:r>
        <w:rPr>
          <w:color w:val="000000"/>
        </w:rPr>
        <w:t xml:space="preserve"> / </w:t>
      </w:r>
      <w:r w:rsidRPr="003F7401">
        <w:rPr>
          <w:i/>
          <w:color w:val="000000"/>
          <w:highlight w:val="yellow"/>
        </w:rPr>
        <w:t>al quale ha dato risposta</w:t>
      </w:r>
      <w:r w:rsidRPr="003F7401">
        <w:rPr>
          <w:color w:val="000000"/>
          <w:highlight w:val="yellow"/>
        </w:rPr>
        <w:t xml:space="preserve"> </w:t>
      </w:r>
      <w:r w:rsidRPr="003F7401">
        <w:rPr>
          <w:i/>
          <w:color w:val="000000"/>
          <w:highlight w:val="yellow"/>
        </w:rPr>
        <w:t>con</w:t>
      </w:r>
      <w:r w:rsidRPr="003F7401">
        <w:rPr>
          <w:color w:val="000000"/>
          <w:highlight w:val="yellow"/>
        </w:rPr>
        <w:t xml:space="preserve"> </w:t>
      </w:r>
      <w:r w:rsidRPr="003F7401">
        <w:rPr>
          <w:i/>
          <w:color w:val="000000"/>
          <w:highlight w:val="yellow"/>
        </w:rPr>
        <w:t>lettera del che si allega</w:t>
      </w:r>
      <w:r>
        <w:rPr>
          <w:i/>
          <w:color w:val="000000"/>
        </w:rPr>
        <w:t>.</w:t>
      </w:r>
      <w:bookmarkEnd w:id="2"/>
      <w:r>
        <w:rPr>
          <w:i/>
          <w:color w:val="000000"/>
          <w:vertAlign w:val="superscript"/>
        </w:rPr>
        <w:footnoteReference w:id="6"/>
      </w:r>
    </w:p>
    <w:p w14:paraId="0000000A" w14:textId="77777777" w:rsidR="009F2746" w:rsidRDefault="00156262">
      <w:pPr>
        <w:widowControl w:val="0"/>
        <w:pBdr>
          <w:top w:val="nil"/>
          <w:left w:val="nil"/>
          <w:bottom w:val="nil"/>
          <w:right w:val="nil"/>
          <w:between w:val="nil"/>
        </w:pBdr>
        <w:tabs>
          <w:tab w:val="left" w:pos="851"/>
          <w:tab w:val="left" w:pos="1276"/>
          <w:tab w:val="left" w:pos="1418"/>
          <w:tab w:val="left" w:pos="1560"/>
          <w:tab w:val="left" w:pos="7938"/>
          <w:tab w:val="left" w:pos="8505"/>
        </w:tabs>
        <w:spacing w:line="360" w:lineRule="auto"/>
        <w:ind w:left="0" w:hanging="2"/>
        <w:jc w:val="both"/>
        <w:rPr>
          <w:color w:val="000000"/>
        </w:rPr>
      </w:pPr>
      <w:r>
        <w:rPr>
          <w:color w:val="000000"/>
        </w:rPr>
        <w:t xml:space="preserve">Successivamente, in data </w:t>
      </w:r>
      <w:r w:rsidRPr="003F7401">
        <w:rPr>
          <w:color w:val="000000"/>
          <w:highlight w:val="yellow"/>
        </w:rPr>
        <w:t>_______</w:t>
      </w:r>
      <w:r>
        <w:rPr>
          <w:color w:val="000000"/>
        </w:rPr>
        <w:t xml:space="preserve">, </w:t>
      </w:r>
      <w:bookmarkStart w:id="3" w:name="_Hlk122506785"/>
      <w:r w:rsidRPr="003F7401">
        <w:rPr>
          <w:i/>
          <w:color w:val="000000"/>
          <w:highlight w:val="yellow"/>
        </w:rPr>
        <w:t xml:space="preserve">ben </w:t>
      </w:r>
      <w:r w:rsidRPr="003F7401">
        <w:rPr>
          <w:i/>
          <w:highlight w:val="yellow"/>
        </w:rPr>
        <w:t>o</w:t>
      </w:r>
      <w:r w:rsidRPr="003F7401">
        <w:rPr>
          <w:i/>
          <w:color w:val="000000"/>
          <w:highlight w:val="yellow"/>
        </w:rPr>
        <w:t xml:space="preserve">ltre il termine di 180 giorni previsto dall’art.1 comma </w:t>
      </w:r>
      <w:r w:rsidRPr="003F7401">
        <w:rPr>
          <w:i/>
          <w:color w:val="000000"/>
          <w:highlight w:val="yellow"/>
        </w:rPr>
        <w:lastRenderedPageBreak/>
        <w:t>1 del DL n.1/2022, convertito in L. n.18 del 04/03/2022</w:t>
      </w:r>
      <w:bookmarkEnd w:id="3"/>
      <w:r w:rsidRPr="003F7401">
        <w:rPr>
          <w:i/>
          <w:color w:val="000000"/>
          <w:highlight w:val="yellow"/>
          <w:vertAlign w:val="superscript"/>
        </w:rPr>
        <w:footnoteReference w:id="7"/>
      </w:r>
      <w:r>
        <w:rPr>
          <w:i/>
          <w:color w:val="000000"/>
        </w:rPr>
        <w:t>,</w:t>
      </w:r>
      <w:r>
        <w:rPr>
          <w:color w:val="000000"/>
        </w:rPr>
        <w:t xml:space="preserve"> all’istante è stato notificato l’avviso di addebito n. </w:t>
      </w:r>
      <w:r w:rsidRPr="003F7401">
        <w:rPr>
          <w:color w:val="000000"/>
          <w:highlight w:val="yellow"/>
        </w:rPr>
        <w:t>_____________</w:t>
      </w:r>
      <w:r>
        <w:rPr>
          <w:color w:val="000000"/>
        </w:rPr>
        <w:t xml:space="preserve"> oggetto del presente giudizio.</w:t>
      </w:r>
    </w:p>
    <w:p w14:paraId="0000000B" w14:textId="77777777" w:rsidR="009F2746" w:rsidRDefault="00156262">
      <w:pPr>
        <w:widowControl w:val="0"/>
        <w:pBdr>
          <w:top w:val="nil"/>
          <w:left w:val="nil"/>
          <w:bottom w:val="nil"/>
          <w:right w:val="nil"/>
          <w:between w:val="nil"/>
        </w:pBdr>
        <w:tabs>
          <w:tab w:val="left" w:pos="851"/>
          <w:tab w:val="left" w:pos="1276"/>
          <w:tab w:val="left" w:pos="1418"/>
          <w:tab w:val="left" w:pos="1560"/>
          <w:tab w:val="left" w:pos="7938"/>
          <w:tab w:val="left" w:pos="8505"/>
        </w:tabs>
        <w:spacing w:line="360" w:lineRule="auto"/>
        <w:ind w:left="0" w:hanging="2"/>
        <w:jc w:val="both"/>
        <w:rPr>
          <w:color w:val="000000"/>
        </w:rPr>
      </w:pPr>
      <w:r>
        <w:rPr>
          <w:color w:val="000000"/>
        </w:rPr>
        <w:t>Con l’avviso di addebito in questione viene irrogata la sanzione amministrativa pecuniaria di €</w:t>
      </w:r>
      <w:r>
        <w:t xml:space="preserve"> </w:t>
      </w:r>
      <w:r>
        <w:rPr>
          <w:color w:val="000000"/>
        </w:rPr>
        <w:t>100,00 da pagare entro 60 giorni dal ricevimento, perché l’istante non avrebbe adempiuto all’obbligo del ciclo vaccinale primario per i soggetti ultracinquantenni.</w:t>
      </w:r>
    </w:p>
    <w:p w14:paraId="0000000C" w14:textId="77777777" w:rsidR="009F2746" w:rsidRDefault="00156262">
      <w:pPr>
        <w:widowControl w:val="0"/>
        <w:pBdr>
          <w:top w:val="nil"/>
          <w:left w:val="nil"/>
          <w:bottom w:val="nil"/>
          <w:right w:val="nil"/>
          <w:between w:val="nil"/>
        </w:pBdr>
        <w:tabs>
          <w:tab w:val="left" w:pos="8505"/>
        </w:tabs>
        <w:spacing w:line="360" w:lineRule="auto"/>
        <w:ind w:left="0" w:hanging="2"/>
        <w:jc w:val="both"/>
        <w:rPr>
          <w:color w:val="000000"/>
        </w:rPr>
      </w:pPr>
      <w:r>
        <w:rPr>
          <w:color w:val="000000"/>
        </w:rPr>
        <w:t xml:space="preserve">L’istante ritiene illegittima e ingiusta la sanzione amministrativa irrogata nei suoi confronti e pertanto chiede il suo annullamento a codesto Onorevole Giudice di Pace per i seguenti motivi </w:t>
      </w:r>
    </w:p>
    <w:p w14:paraId="0000000D" w14:textId="285A8FCA" w:rsidR="009F2746" w:rsidRDefault="00156262">
      <w:pPr>
        <w:widowControl w:val="0"/>
        <w:pBdr>
          <w:top w:val="nil"/>
          <w:left w:val="nil"/>
          <w:bottom w:val="nil"/>
          <w:right w:val="nil"/>
          <w:between w:val="nil"/>
        </w:pBdr>
        <w:tabs>
          <w:tab w:val="left" w:pos="1418"/>
          <w:tab w:val="left" w:pos="7938"/>
          <w:tab w:val="left" w:pos="8505"/>
        </w:tabs>
        <w:spacing w:line="360" w:lineRule="auto"/>
        <w:ind w:left="0" w:hanging="2"/>
        <w:jc w:val="center"/>
        <w:rPr>
          <w:b/>
          <w:color w:val="000000"/>
        </w:rPr>
      </w:pPr>
      <w:r>
        <w:rPr>
          <w:b/>
          <w:color w:val="000000"/>
        </w:rPr>
        <w:t>IN DIRITTO</w:t>
      </w:r>
    </w:p>
    <w:p w14:paraId="3A582A73" w14:textId="30C53DD5" w:rsidR="007F5199" w:rsidRPr="007F5199" w:rsidRDefault="007F5199" w:rsidP="00A31527">
      <w:pPr>
        <w:pStyle w:val="Paragrafoelenco"/>
        <w:numPr>
          <w:ilvl w:val="0"/>
          <w:numId w:val="4"/>
        </w:numPr>
        <w:pBdr>
          <w:top w:val="nil"/>
          <w:left w:val="nil"/>
          <w:bottom w:val="nil"/>
          <w:right w:val="nil"/>
          <w:between w:val="nil"/>
        </w:pBdr>
        <w:shd w:val="clear" w:color="auto" w:fill="FFFFFF"/>
        <w:suppressAutoHyphens w:val="0"/>
        <w:spacing w:line="360" w:lineRule="auto"/>
        <w:ind w:leftChars="0" w:left="0" w:firstLineChars="0" w:firstLine="0"/>
        <w:jc w:val="both"/>
        <w:textDirection w:val="lrTb"/>
        <w:textAlignment w:val="auto"/>
        <w:outlineLvl w:val="9"/>
        <w:rPr>
          <w:color w:val="333333"/>
        </w:rPr>
      </w:pPr>
      <w:bookmarkStart w:id="4" w:name="_Hlk122508273"/>
      <w:r w:rsidRPr="007F5199">
        <w:rPr>
          <w:b/>
          <w:color w:val="333333"/>
        </w:rPr>
        <w:t xml:space="preserve">Eccezione preliminare e pregiudiziale per carenza di legittimazione attiva e di potere </w:t>
      </w:r>
      <w:r w:rsidRPr="007F5199">
        <w:rPr>
          <w:color w:val="333333"/>
        </w:rPr>
        <w:t>in capo all’Agenzia delle Entrate – Riscossioni che ha emesso l’avviso di addebito, unitamente alla sanzione amministrativa pecuniaria, ivi opposta.</w:t>
      </w:r>
    </w:p>
    <w:bookmarkEnd w:id="4"/>
    <w:p w14:paraId="0868C6BE"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 xml:space="preserve">L'art. 4-sexies del decreto-legge n. 44 del 2021, convertito con legge n. 76/2021 </w:t>
      </w:r>
      <w:proofErr w:type="spellStart"/>
      <w:r w:rsidRPr="00A31527">
        <w:rPr>
          <w:color w:val="333333"/>
        </w:rPr>
        <w:t>s.m.i.</w:t>
      </w:r>
      <w:proofErr w:type="spellEnd"/>
      <w:r w:rsidRPr="00A31527">
        <w:rPr>
          <w:color w:val="333333"/>
        </w:rPr>
        <w:t xml:space="preserve"> commina la sanzione amministrativa di € 100,00 (cento euro) ai cittadini italiani ed agli stranieri residenti nel territorio dello Stato che abbiano compiuto il cinquantesimo anno di età alla data del 15/06/2022 senza aver iniziato o concluso il ciclo vaccinale primario (tre dosi) anti covid-19.</w:t>
      </w:r>
    </w:p>
    <w:p w14:paraId="369D1448"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La constatazione degli illeciti amministrativi è affidata agli organi amministrativi che svolgono attività di polizia amministrativa i quali, ai sensi dell'art. 13 legge n. 689/1981, sono "</w:t>
      </w:r>
      <w:r w:rsidRPr="00E50BDE">
        <w:rPr>
          <w:i/>
          <w:color w:val="333333"/>
        </w:rPr>
        <w:t>organi addetti al controllo sull'osservanza delle disposizioni per la cui violazione è prevista la sanzione amministrativa del pagamento di una somma di denaro</w:t>
      </w:r>
      <w:r w:rsidRPr="00A31527">
        <w:rPr>
          <w:color w:val="333333"/>
        </w:rPr>
        <w:t>".</w:t>
      </w:r>
    </w:p>
    <w:p w14:paraId="431FDCE8"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L'ordine viene direttamente dall'art. 97 Cost. che. prevede al secondo comma come "</w:t>
      </w:r>
      <w:r w:rsidRPr="00E50BDE">
        <w:rPr>
          <w:i/>
          <w:color w:val="333333"/>
        </w:rPr>
        <w:t>i pubblici uffici sono organizzati secondo disposizioni di legge, in modo che siano assicurati il buon andamento e l'imparzialità dell'amministrazione. Nell'ordinamento degli uffici sono determinate le sfere di competenza, le attribuzioni e le responsabilità proprie dei funzionari</w:t>
      </w:r>
      <w:r w:rsidRPr="00A31527">
        <w:rPr>
          <w:color w:val="333333"/>
        </w:rPr>
        <w:t>".</w:t>
      </w:r>
    </w:p>
    <w:p w14:paraId="386A8673"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 xml:space="preserve">L'imparzialità dell'amministrazione e il suo buon andamento - che nella specie coincide con l'esercizio del potere amministrativo di accertamento del fatto illecito, di irrogazione della sanzione e, in ultimo, della riscossione coattiva in caso di mancato pagamento della sanzione - è rimesso agli organi di vigilanza indicati nelle singole leggi speciali, agli ufficiali ed agenti di polizia giudiziaria ex art. 57 </w:t>
      </w:r>
      <w:proofErr w:type="gramStart"/>
      <w:r w:rsidRPr="00A31527">
        <w:rPr>
          <w:color w:val="333333"/>
        </w:rPr>
        <w:t>c.p.p. ,</w:t>
      </w:r>
      <w:proofErr w:type="gramEnd"/>
      <w:r w:rsidRPr="00A31527">
        <w:rPr>
          <w:color w:val="333333"/>
        </w:rPr>
        <w:t xml:space="preserve"> agli enti locali ex art. 7 bis del D. Lgs. n. 267/2000, nonché ai singoli uffici e ai singoli organi deputati all'esercizio del potere amministrativo cui è la legge stessa a determinarne le rispettive sfere di competenza e di attribuzione.</w:t>
      </w:r>
    </w:p>
    <w:p w14:paraId="69B4BF45"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 xml:space="preserve">I pubblici uffici, pertanto, sono organizzati secondo le sfere di competenza, le attribuzioni e le </w:t>
      </w:r>
      <w:r w:rsidRPr="00A31527">
        <w:rPr>
          <w:color w:val="333333"/>
        </w:rPr>
        <w:lastRenderedPageBreak/>
        <w:t>responsabilità proprie dei funzionari come previsti dalla legge, che determina l'esercizio del potere amministrativo in maniera "tipica", ossia predeterminato, in ossequio al principio di legalità, massima espressione della garanzia di tutte le situazioni giuridiche in capo agli stessi soggetti privati.</w:t>
      </w:r>
    </w:p>
    <w:p w14:paraId="561A9D92"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Pertanto per l'applicazione di una sanzione, anche amministrativa, vige il principio di legalità (art.1 legge n. 689/1981) in base al quale solo con una legge è possibile fissare e stabilire delle sanzioni.</w:t>
      </w:r>
    </w:p>
    <w:p w14:paraId="561BCC45"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Premesso ciò, l'art. 4 sexies comma 3 D.L. 44/2021, in deroga all'art. 13 della Legge 689/1981 stabilisce che "</w:t>
      </w:r>
      <w:r w:rsidRPr="00E50BDE">
        <w:rPr>
          <w:i/>
          <w:color w:val="333333"/>
        </w:rPr>
        <w:t>l'irrogazione della sanzione è effettuata dal Ministero della salute per il tramite dell'Agenzia delle entrate-Riscossione, che vi provvede sulla base degli elenchi dei soggetti inadempienti all'obbligo vaccinale periodicamente predisposti e trasmessi dal medesimo Ministero…</w:t>
      </w:r>
      <w:r w:rsidRPr="00A31527">
        <w:rPr>
          <w:color w:val="333333"/>
        </w:rPr>
        <w:t>".</w:t>
      </w:r>
    </w:p>
    <w:p w14:paraId="037851EE"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È evidente sin da subito il trasferimento di fatto all'</w:t>
      </w:r>
      <w:proofErr w:type="spellStart"/>
      <w:r w:rsidRPr="00A31527">
        <w:rPr>
          <w:color w:val="333333"/>
        </w:rPr>
        <w:t>Ader</w:t>
      </w:r>
      <w:proofErr w:type="spellEnd"/>
      <w:r w:rsidRPr="00A31527">
        <w:rPr>
          <w:color w:val="333333"/>
        </w:rPr>
        <w:t xml:space="preserve"> della competenza materiale di "irrogare" la sanzione amministrativa per la violazione che però sia stata "accertata" in precedenza mediante un atto dell'organo titolare e funzionalmente competente all'accertamento, ossia il Ministero della Salute, come espressamente previsto dall'art. 4sexies D.L. 44/21.</w:t>
      </w:r>
    </w:p>
    <w:p w14:paraId="39EBC94A"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Tale atto di accertamento, secondo la sfocata e ambigua struttura normativa, sarebbe costituito da quegli "</w:t>
      </w:r>
      <w:r w:rsidRPr="00E50BDE">
        <w:rPr>
          <w:i/>
          <w:color w:val="333333"/>
        </w:rPr>
        <w:t>elenchi dei soggetti inadempienti all'obbligo vaccinale</w:t>
      </w:r>
      <w:r w:rsidRPr="00A31527">
        <w:rPr>
          <w:color w:val="333333"/>
        </w:rPr>
        <w:t>" che il Ministero trasmette periodicamente all'</w:t>
      </w:r>
      <w:proofErr w:type="spellStart"/>
      <w:r w:rsidRPr="00A31527">
        <w:rPr>
          <w:color w:val="333333"/>
        </w:rPr>
        <w:t>Ader</w:t>
      </w:r>
      <w:proofErr w:type="spellEnd"/>
      <w:r w:rsidRPr="00A31527">
        <w:rPr>
          <w:color w:val="333333"/>
        </w:rPr>
        <w:t>, ed ai quali quest'ultima dovrà irrogare la sanzione per conto del Ministero.</w:t>
      </w:r>
    </w:p>
    <w:p w14:paraId="2595EDB5"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Dunque accertamento e irrogazione sono due segmenti diversi del processo di accertamento di una violazione amministrativa, possono coincidere certamente (si pensi alle contestazioni immediate) ma possono anche aversi in momenti successivi (si pensi alle sanzioni per "autovelox") e non v'è dubbio che all'</w:t>
      </w:r>
      <w:proofErr w:type="spellStart"/>
      <w:r w:rsidRPr="00A31527">
        <w:rPr>
          <w:color w:val="333333"/>
        </w:rPr>
        <w:t>Ader</w:t>
      </w:r>
      <w:proofErr w:type="spellEnd"/>
      <w:r w:rsidRPr="00A31527">
        <w:rPr>
          <w:color w:val="333333"/>
        </w:rPr>
        <w:t xml:space="preserve"> nel caso di specie sia stata delegata dalla legge solo la funzione di irrogare (e comunicare) ai soggetti inadempienti, per conto del Ministero Titolare, l'avvio del procedimento sanzionatorio, nei cui confronti ciascuno </w:t>
      </w:r>
      <w:proofErr w:type="spellStart"/>
      <w:r w:rsidRPr="00E50BDE">
        <w:rPr>
          <w:i/>
          <w:color w:val="333333"/>
        </w:rPr>
        <w:t>tenetur</w:t>
      </w:r>
      <w:proofErr w:type="spellEnd"/>
      <w:r w:rsidRPr="00E50BDE">
        <w:rPr>
          <w:i/>
          <w:color w:val="333333"/>
        </w:rPr>
        <w:t xml:space="preserve"> se detergere</w:t>
      </w:r>
      <w:r w:rsidRPr="00A31527">
        <w:rPr>
          <w:color w:val="333333"/>
        </w:rPr>
        <w:t>, comunicando entro dieci 10 dalla ricezione dell'avviso direttamente al Ministero della Salute titolare del trattamento una causa di esenzione o giustificazione.</w:t>
      </w:r>
    </w:p>
    <w:p w14:paraId="03CCF9B9"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In questa prospettiva l'art. 4sexies D.L. 44/21 non ha delegato l'attribuzione del potere di "accertamento" all'Ente Riscossione che, istituzionalmente (ai sensi del D.L. 22 ottobre 2016, n. 193 convertito con modificazioni dalla L. 1 dicembre 2016, n. 225, nonché dallo Statuto e dal Regolamento dell'Agenzia delle Entrate - Riscossioni) esercita esclusivamente le funzioni di riscossione, ma solamente quelle accessorie e strumentali alla stessa secondo gli indirizzi dettati dal Ministero dell'Economia e delle Finanze.</w:t>
      </w:r>
    </w:p>
    <w:p w14:paraId="6994CDD3"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lastRenderedPageBreak/>
        <w:t>Sul punto la sentenza del Consiglio di Stato rileva come "</w:t>
      </w:r>
      <w:r w:rsidRPr="00E50BDE">
        <w:rPr>
          <w:i/>
          <w:color w:val="333333"/>
        </w:rPr>
        <w:t>Il potere di delega, poiché altera l'ordine delle competenze degli organi abilitati ad emettere atti con efficacia esterna, necessita di un supporto normativo di valore almeno pari a quello attributivo della competenza ordinaria, in quanto diversamente si renderebbe l'amministrazione arbitra di spostare, caso per caso, e senza alcuna previsione di limiti oggettivi e soggettivi, le competenze precostituite, con l'effetto di privare l'amministrato delle garanzie che sono insite nelle attribuzioni di uno specifico organo</w:t>
      </w:r>
      <w:r w:rsidRPr="00A31527">
        <w:rPr>
          <w:color w:val="333333"/>
        </w:rPr>
        <w:t xml:space="preserve">" - </w:t>
      </w:r>
      <w:proofErr w:type="spellStart"/>
      <w:r w:rsidRPr="00A31527">
        <w:rPr>
          <w:color w:val="333333"/>
        </w:rPr>
        <w:t>rif.</w:t>
      </w:r>
      <w:proofErr w:type="spellEnd"/>
      <w:r w:rsidRPr="00A31527">
        <w:rPr>
          <w:color w:val="333333"/>
        </w:rPr>
        <w:t xml:space="preserve"> </w:t>
      </w:r>
      <w:proofErr w:type="spellStart"/>
      <w:r w:rsidRPr="00A31527">
        <w:rPr>
          <w:color w:val="333333"/>
        </w:rPr>
        <w:t>C.d.S</w:t>
      </w:r>
      <w:proofErr w:type="spellEnd"/>
      <w:r w:rsidRPr="00A31527">
        <w:rPr>
          <w:color w:val="333333"/>
        </w:rPr>
        <w:t xml:space="preserve">., Sez. VI, </w:t>
      </w:r>
      <w:proofErr w:type="spellStart"/>
      <w:r w:rsidRPr="00A31527">
        <w:rPr>
          <w:color w:val="333333"/>
        </w:rPr>
        <w:t>sent</w:t>
      </w:r>
      <w:proofErr w:type="spellEnd"/>
      <w:r w:rsidRPr="00A31527">
        <w:rPr>
          <w:color w:val="333333"/>
        </w:rPr>
        <w:t>. 20/1979).</w:t>
      </w:r>
    </w:p>
    <w:p w14:paraId="0CA90A85"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Su tale particolare motivo il Giudice di pace di Velletri, con la sentenza n. 721 del 21 marzo 2023, ha annullato l'avviso di addebito comunicato alla ricorrente come atto di accertamento "</w:t>
      </w:r>
      <w:r w:rsidRPr="00E50BDE">
        <w:rPr>
          <w:i/>
          <w:color w:val="333333"/>
        </w:rPr>
        <w:t>atteso che l'irrogazione della sanzione ex art. 4 comma 3 D.L. 44/2021 è effettuato dal Ministero della Salute per tramite l'Agenzia delle Entrate</w:t>
      </w:r>
      <w:r w:rsidRPr="00A31527">
        <w:rPr>
          <w:color w:val="333333"/>
        </w:rPr>
        <w:t>".</w:t>
      </w:r>
    </w:p>
    <w:p w14:paraId="4C055540"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L'</w:t>
      </w:r>
      <w:proofErr w:type="spellStart"/>
      <w:r w:rsidRPr="00A31527">
        <w:rPr>
          <w:color w:val="333333"/>
        </w:rPr>
        <w:t>Ader</w:t>
      </w:r>
      <w:proofErr w:type="spellEnd"/>
      <w:r w:rsidRPr="00A31527">
        <w:rPr>
          <w:color w:val="333333"/>
        </w:rPr>
        <w:t xml:space="preserve"> è un semplice tramite privo di una legittimazione propria o "attiva", nel senso sostanziale e funzionale dell'esercizio di attività delegate - e non certo processuale sol per l'evidente constatazione che è la convenuta in giudizio - che non le consentono di accertare la violazione mediante la formazione di atti sostitutivi degli elenchi ricevuti dal Ministero contenenti i nominativi dei soggetti "verificati e accertati".</w:t>
      </w:r>
    </w:p>
    <w:p w14:paraId="03A4564A"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La migrazione di tali elenchi negli "avvisi di addebito" che l'</w:t>
      </w:r>
      <w:proofErr w:type="spellStart"/>
      <w:r w:rsidRPr="00A31527">
        <w:rPr>
          <w:color w:val="333333"/>
        </w:rPr>
        <w:t>Ader</w:t>
      </w:r>
      <w:proofErr w:type="spellEnd"/>
      <w:r w:rsidRPr="00A31527">
        <w:rPr>
          <w:color w:val="333333"/>
        </w:rPr>
        <w:t xml:space="preserve"> notifica ai sensi del comma 6 dell'art. 4sexies cit. costituisce un eccesso di potere ed una grave violazione dei diritti difensivi dei sanzionati, che non sarebbero in nessun modo posti a conoscenza dell'atto di accertamento originario e per i quali non vi sarebbe alcuna prova di trasmissione o possibilità di accesso, innescando ulteriori problematiche relative all'avveramento delle condizioni previste ex art. 29, 32 e 39 del GDPR.</w:t>
      </w:r>
    </w:p>
    <w:p w14:paraId="528F06C9"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Sovrapponendo la funzione di accertamento della violazione con quello della irrogazione della sanzione si opera un automatico (e non consentito) trattamento dei dati personali e profilazione automatizzata di condizioni sanitarie personali sensibilissime in palese violazione del diritto previsto ex art. 22 GDPR nonché in violazione dell'art. 5 GDPR che impone la liceità e correttezza del trattamento dei dati personali in ossequio al principio di trasparenza che tenga conto della necessità di salvaguardare il diritto di accesso nonché la tutela e stabilità delle situazioni giuridiche nei rapporti con la pubblica amministrazione (interesse alla riservatezza dei terzi; tutela del segreto) (cfr. Cons. Stato, A.P., 18 aprile 2006, n. 6).</w:t>
      </w:r>
    </w:p>
    <w:p w14:paraId="540425CF"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Ad ogni buon conto l'illegittimità dell'operato dell'</w:t>
      </w:r>
      <w:proofErr w:type="spellStart"/>
      <w:r w:rsidRPr="00A31527">
        <w:rPr>
          <w:color w:val="333333"/>
        </w:rPr>
        <w:t>Ader</w:t>
      </w:r>
      <w:proofErr w:type="spellEnd"/>
      <w:r w:rsidRPr="00A31527">
        <w:rPr>
          <w:color w:val="333333"/>
        </w:rPr>
        <w:t xml:space="preserve"> risiede, </w:t>
      </w:r>
      <w:r w:rsidRPr="00E50BDE">
        <w:rPr>
          <w:i/>
          <w:color w:val="333333"/>
        </w:rPr>
        <w:t>in parte qua</w:t>
      </w:r>
      <w:r w:rsidRPr="00A31527">
        <w:rPr>
          <w:color w:val="333333"/>
        </w:rPr>
        <w:t>, nella mancanza di notifica del presupposto atto di accertamento di inadempimento della sottoposizione all'obbligo vaccinale, atto prodromico essenziale, affinché venga successivamente emesso l'avviso di addebito.</w:t>
      </w:r>
    </w:p>
    <w:p w14:paraId="3E2B5968"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p>
    <w:p w14:paraId="2011B124"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Per analogia basta richiamare ciò che accade a seguito di accertamento effettuato dall'Agenzia delle Entrate che riscontri un "maggior reddito" prodotto dal contribuente, quando l'INPS richieda i contributi sull'eccedenza riscontrata. Al riguardo, la pacifica e consolidata giurisprudenza ritiene illegittimo l'avviso di addebito per crediti previdenziali notificato dall'Inps al contribuente qualora esso tragga le sue origini soltanto da un precedente accertamento eseguito dall'Agenzia delle Entrate, il quale risulti a sua volta passibile di autonoma impugnazione dinanzi alla Commissione Tributaria Provinciale.</w:t>
      </w:r>
    </w:p>
    <w:p w14:paraId="61C57B0E"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Si è ritenuto difatti che l'accertamento dell'Agenzia delle Entrate rappresenti solo una circostanza pregiudiziale, diversamente dall'esito della verifica fiscale che rappresenta il presupposto in forza del quale il convenuto può rideterminare i contributi dovuti. Tuttavia, la definizione fiscale della lite tra il contribuente e l'Agenzia delle Entrate non rende definitivo l'accertamento e, pertanto, l'INPS non può limitarsi a dedurre l'intervenuta definitività dell'avviso di accertamento in sede giudiziale, in quanto ha l'onere di dare prova della propria pretesa contributiva (v. Tribunale di Siracusa, sez. lav. 23/09/2021; Tribunale Ferrara, sez. lav., 14/11/2019, n. 170; Tribunale Arezzo, sez. lav., 16/05/2014, n. 203; Tribunale Milano, sez. lav., 24/06/2013, n. 5304).</w:t>
      </w:r>
    </w:p>
    <w:p w14:paraId="700EC523" w14:textId="77777777"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Anche la Corte Suprema si è pronunciata sulla tematica, rilevando che "</w:t>
      </w:r>
      <w:r w:rsidRPr="00E50BDE">
        <w:rPr>
          <w:i/>
          <w:color w:val="333333"/>
        </w:rPr>
        <w:t xml:space="preserve">in tema di iscrizione a ruolo di crediti degli enti previdenziali, l'art. 24, co. 3 del </w:t>
      </w:r>
      <w:proofErr w:type="spellStart"/>
      <w:r w:rsidRPr="00E50BDE">
        <w:rPr>
          <w:i/>
          <w:color w:val="333333"/>
        </w:rPr>
        <w:t>D.Lgs.</w:t>
      </w:r>
      <w:proofErr w:type="spellEnd"/>
      <w:r w:rsidRPr="00E50BDE">
        <w:rPr>
          <w:i/>
          <w:color w:val="333333"/>
        </w:rPr>
        <w:t xml:space="preserve"> n. 46/1999, che prevede la non </w:t>
      </w:r>
      <w:proofErr w:type="spellStart"/>
      <w:r w:rsidRPr="00E50BDE">
        <w:rPr>
          <w:i/>
          <w:color w:val="333333"/>
        </w:rPr>
        <w:t>iscrivibilità</w:t>
      </w:r>
      <w:proofErr w:type="spellEnd"/>
      <w:r w:rsidRPr="00E50BDE">
        <w:rPr>
          <w:i/>
          <w:color w:val="333333"/>
        </w:rPr>
        <w:t xml:space="preserve"> a ruolo del credito previdenziale sino a quando non vi sia il provvedimento esecutivo del giudice, qualora l'accertamento su cui la pretesa creditoria si fonda sia impugnato davanti all'autorità giudiziaria, va interpretato nel senso che l'accertamento, cui la norma si riferisce, non è solo quello eseguito dall'ente previdenziale, ma anche quello operato da altro ufficio pubblico come l'Agenzia delle Entrate, né è necessario, ai fini della non </w:t>
      </w:r>
      <w:proofErr w:type="spellStart"/>
      <w:r w:rsidRPr="00E50BDE">
        <w:rPr>
          <w:i/>
          <w:color w:val="333333"/>
        </w:rPr>
        <w:t>iscrivibilità</w:t>
      </w:r>
      <w:proofErr w:type="spellEnd"/>
      <w:r w:rsidRPr="00E50BDE">
        <w:rPr>
          <w:i/>
          <w:color w:val="333333"/>
        </w:rPr>
        <w:t xml:space="preserve"> a ruolo, che, in quest'ultima ipotesi, l'INPS sia messo a conoscenza dell'impugnazione dell'accertamento innanzi al giudice tributario</w:t>
      </w:r>
      <w:r w:rsidRPr="00A31527">
        <w:rPr>
          <w:color w:val="333333"/>
        </w:rPr>
        <w:t xml:space="preserve">" (Cass. </w:t>
      </w:r>
      <w:proofErr w:type="spellStart"/>
      <w:r w:rsidRPr="00A31527">
        <w:rPr>
          <w:color w:val="333333"/>
        </w:rPr>
        <w:t>Civ</w:t>
      </w:r>
      <w:proofErr w:type="spellEnd"/>
      <w:r w:rsidRPr="00A31527">
        <w:rPr>
          <w:color w:val="333333"/>
        </w:rPr>
        <w:t xml:space="preserve">. sez. lav., 17/06/2016, n. 12333; Cass. </w:t>
      </w:r>
      <w:proofErr w:type="spellStart"/>
      <w:r w:rsidRPr="00A31527">
        <w:rPr>
          <w:color w:val="333333"/>
        </w:rPr>
        <w:t>Civ</w:t>
      </w:r>
      <w:proofErr w:type="spellEnd"/>
      <w:r w:rsidRPr="00A31527">
        <w:rPr>
          <w:color w:val="333333"/>
        </w:rPr>
        <w:t>., sez. lav., 27.01.2015, n. 1483).</w:t>
      </w:r>
    </w:p>
    <w:p w14:paraId="01ADD5FE" w14:textId="7B70E016" w:rsidR="00A31527" w:rsidRPr="00A31527"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Ne discende che nel caso deciso dal Giudice di Pace di Velletri con la sentenza</w:t>
      </w:r>
      <w:r w:rsidR="00E50BDE">
        <w:rPr>
          <w:color w:val="333333"/>
        </w:rPr>
        <w:t xml:space="preserve"> 721 del</w:t>
      </w:r>
      <w:r w:rsidRPr="00A31527">
        <w:rPr>
          <w:color w:val="333333"/>
        </w:rPr>
        <w:t xml:space="preserve"> 21 marzo 2023 è stato accertato come l'</w:t>
      </w:r>
      <w:proofErr w:type="spellStart"/>
      <w:r w:rsidRPr="00A31527">
        <w:rPr>
          <w:color w:val="333333"/>
        </w:rPr>
        <w:t>Ader</w:t>
      </w:r>
      <w:proofErr w:type="spellEnd"/>
      <w:r w:rsidRPr="00A31527">
        <w:rPr>
          <w:color w:val="333333"/>
        </w:rPr>
        <w:t xml:space="preserve"> non avesse alcuna legittimazione "attiva" a sostituirsi al Ministero nell'accertamento e come avrebbe dovuto, in quanto delegato ex lege, notificare con l'avviso di avvio del procedimento ex art 4sexies comma 4 cit. oppure, al più, con l'avviso di addebito di cui al successivo comma 6, l'atto di accertamento redatto dal Ministero della Salute ai sensi e per gli effetti del comma 3 dell'art. 4 sexies D.L. 44/21.</w:t>
      </w:r>
    </w:p>
    <w:p w14:paraId="354B12AC" w14:textId="171EF414" w:rsidR="007F5199" w:rsidRDefault="00A31527" w:rsidP="00A31527">
      <w:pPr>
        <w:widowControl w:val="0"/>
        <w:pBdr>
          <w:top w:val="nil"/>
          <w:left w:val="nil"/>
          <w:bottom w:val="nil"/>
          <w:right w:val="nil"/>
          <w:between w:val="nil"/>
        </w:pBdr>
        <w:tabs>
          <w:tab w:val="left" w:pos="0"/>
        </w:tabs>
        <w:spacing w:line="360" w:lineRule="auto"/>
        <w:ind w:left="0" w:hanging="2"/>
        <w:jc w:val="both"/>
        <w:rPr>
          <w:color w:val="333333"/>
        </w:rPr>
      </w:pPr>
      <w:r w:rsidRPr="00A31527">
        <w:rPr>
          <w:color w:val="333333"/>
        </w:rPr>
        <w:t xml:space="preserve">E sebbene la sentenza valga </w:t>
      </w:r>
      <w:r w:rsidRPr="00E50BDE">
        <w:rPr>
          <w:i/>
          <w:color w:val="333333"/>
        </w:rPr>
        <w:t xml:space="preserve">inter </w:t>
      </w:r>
      <w:proofErr w:type="spellStart"/>
      <w:r w:rsidRPr="00E50BDE">
        <w:rPr>
          <w:i/>
          <w:color w:val="333333"/>
        </w:rPr>
        <w:t>partes</w:t>
      </w:r>
      <w:proofErr w:type="spellEnd"/>
      <w:r w:rsidRPr="00A31527">
        <w:rPr>
          <w:color w:val="333333"/>
        </w:rPr>
        <w:t xml:space="preserve">, non v'è dubbio che il carattere pubblicistico del </w:t>
      </w:r>
      <w:r w:rsidRPr="00A31527">
        <w:rPr>
          <w:color w:val="333333"/>
        </w:rPr>
        <w:lastRenderedPageBreak/>
        <w:t xml:space="preserve">procedimento amministrativo in discussione abbia portata </w:t>
      </w:r>
      <w:r w:rsidRPr="00E50BDE">
        <w:rPr>
          <w:i/>
          <w:color w:val="333333"/>
        </w:rPr>
        <w:t xml:space="preserve">erga </w:t>
      </w:r>
      <w:proofErr w:type="spellStart"/>
      <w:r w:rsidRPr="00E50BDE">
        <w:rPr>
          <w:i/>
          <w:color w:val="333333"/>
        </w:rPr>
        <w:t>omnes</w:t>
      </w:r>
      <w:proofErr w:type="spellEnd"/>
      <w:r w:rsidRPr="00A31527">
        <w:rPr>
          <w:color w:val="333333"/>
        </w:rPr>
        <w:t>, per cui l'illegittimità del caso velletrano sarà applicabile per analogia anche al presente caso in cui all'addebito notificato all'istante non è stato preceduto dalla notifica dell'atto prodromico di accertamento dell'inadempimento all'obbligo vaccinale, essendo stata comminata de plano la sanzione in spregio alla normativa su indicata.</w:t>
      </w:r>
    </w:p>
    <w:p w14:paraId="1986564B" w14:textId="1C617C19" w:rsidR="006C0694" w:rsidRDefault="006C0694" w:rsidP="006C0694">
      <w:pPr>
        <w:widowControl w:val="0"/>
        <w:pBdr>
          <w:top w:val="nil"/>
          <w:left w:val="nil"/>
          <w:bottom w:val="nil"/>
          <w:right w:val="nil"/>
          <w:between w:val="nil"/>
        </w:pBdr>
        <w:tabs>
          <w:tab w:val="left" w:pos="0"/>
        </w:tabs>
        <w:spacing w:line="360" w:lineRule="auto"/>
        <w:ind w:left="0" w:hanging="2"/>
        <w:jc w:val="center"/>
        <w:rPr>
          <w:color w:val="000000"/>
        </w:rPr>
      </w:pPr>
      <w:r>
        <w:rPr>
          <w:color w:val="000000"/>
        </w:rPr>
        <w:t>*</w:t>
      </w:r>
    </w:p>
    <w:p w14:paraId="0000000E" w14:textId="77777777" w:rsidR="009F2746" w:rsidRDefault="00156262">
      <w:pPr>
        <w:pBdr>
          <w:top w:val="nil"/>
          <w:left w:val="nil"/>
          <w:bottom w:val="nil"/>
          <w:right w:val="nil"/>
          <w:between w:val="nil"/>
        </w:pBdr>
        <w:spacing w:line="360" w:lineRule="auto"/>
        <w:ind w:left="0" w:hanging="2"/>
        <w:jc w:val="both"/>
        <w:rPr>
          <w:color w:val="000000"/>
        </w:rPr>
      </w:pPr>
      <w:bookmarkStart w:id="5" w:name="_Hlk122507165"/>
      <w:r>
        <w:rPr>
          <w:b/>
          <w:color w:val="000000"/>
        </w:rPr>
        <w:t>1) nullità dell’avviso per omessa indicazione dei termini e delle modalità di impugnazione.</w:t>
      </w:r>
      <w:bookmarkEnd w:id="5"/>
    </w:p>
    <w:p w14:paraId="0000000F" w14:textId="6987CBCD" w:rsidR="009F2746" w:rsidRDefault="00156262">
      <w:pPr>
        <w:pBdr>
          <w:top w:val="nil"/>
          <w:left w:val="nil"/>
          <w:bottom w:val="nil"/>
          <w:right w:val="nil"/>
          <w:between w:val="nil"/>
        </w:pBdr>
        <w:spacing w:line="360" w:lineRule="auto"/>
        <w:ind w:left="0" w:hanging="2"/>
        <w:jc w:val="both"/>
        <w:rPr>
          <w:color w:val="000000"/>
        </w:rPr>
      </w:pPr>
      <w:r>
        <w:rPr>
          <w:color w:val="000000"/>
        </w:rPr>
        <w:t>L’avviso di addebito impugnato è nullo per l’omessa indicazione di termini e d</w:t>
      </w:r>
      <w:r>
        <w:t>i</w:t>
      </w:r>
      <w:r>
        <w:rPr>
          <w:color w:val="000000"/>
        </w:rPr>
        <w:t xml:space="preserve"> modalità di ricorso avverso lo stesso. Questa omissione determina, anche nei difensori, incertezza sulla facoltà di radicare il ricorso ai sensi degli </w:t>
      </w:r>
      <w:proofErr w:type="spellStart"/>
      <w:r>
        <w:rPr>
          <w:color w:val="000000"/>
        </w:rPr>
        <w:t>artt</w:t>
      </w:r>
      <w:proofErr w:type="spellEnd"/>
      <w:r>
        <w:rPr>
          <w:color w:val="000000"/>
        </w:rPr>
        <w:t xml:space="preserve"> 22 e ss. Legge 689/81, (così come richiamato dall’art. 6 </w:t>
      </w:r>
      <w:proofErr w:type="spellStart"/>
      <w:r>
        <w:rPr>
          <w:color w:val="000000"/>
        </w:rPr>
        <w:t>D.L</w:t>
      </w:r>
      <w:r>
        <w:t>gs</w:t>
      </w:r>
      <w:proofErr w:type="spellEnd"/>
      <w:r>
        <w:rPr>
          <w:color w:val="000000"/>
        </w:rPr>
        <w:t xml:space="preserve"> 01/09/2011 nr.150) argomentando sulla natura sostanziale della “sanzione amministrativa” irrogata, così definita testualmente nel provvedimento impugnato, ovvero</w:t>
      </w:r>
      <w:r>
        <w:t xml:space="preserve"> </w:t>
      </w:r>
      <w:r>
        <w:rPr>
          <w:color w:val="000000"/>
        </w:rPr>
        <w:t xml:space="preserve">radicando il diverso procedimento (disciplinato dagli artt. 442 e </w:t>
      </w:r>
      <w:proofErr w:type="spellStart"/>
      <w:r>
        <w:rPr>
          <w:color w:val="000000"/>
        </w:rPr>
        <w:t>ss</w:t>
      </w:r>
      <w:proofErr w:type="spellEnd"/>
      <w:r>
        <w:rPr>
          <w:color w:val="000000"/>
        </w:rPr>
        <w:t xml:space="preserve"> del codice di procedura civile) previsto per l’opposizione, davanti al Giudice del Lavoro, degli avvisi di addebito dell’INPS ai sensi dell’art. 30 Decreto Legge 31 Maggio 2010 nr. 78 e </w:t>
      </w:r>
      <w:proofErr w:type="spellStart"/>
      <w:r>
        <w:rPr>
          <w:color w:val="000000"/>
        </w:rPr>
        <w:t>s.m.i.</w:t>
      </w:r>
      <w:proofErr w:type="spellEnd"/>
    </w:p>
    <w:p w14:paraId="00000010" w14:textId="77777777" w:rsidR="009F2746" w:rsidRDefault="00156262">
      <w:pPr>
        <w:pBdr>
          <w:top w:val="nil"/>
          <w:left w:val="nil"/>
          <w:bottom w:val="nil"/>
          <w:right w:val="nil"/>
          <w:between w:val="nil"/>
        </w:pBdr>
        <w:spacing w:line="360" w:lineRule="auto"/>
        <w:ind w:left="0" w:hanging="2"/>
        <w:jc w:val="both"/>
        <w:rPr>
          <w:color w:val="000000"/>
        </w:rPr>
      </w:pPr>
      <w:r>
        <w:rPr>
          <w:color w:val="000000"/>
        </w:rPr>
        <w:t>Neanche la lettura dell’art. 4 sexies comma 6 del Decreto Legge 01/04/2021 nr. 44 chiarisce se la deroga alle disposizioni contenute nella Legge 24 Novembre 1981 nr. 689 riguarda solo il procedimento di irrogazione della sanzione o anche la fase (eventuale) dell’impugnazione.</w:t>
      </w:r>
    </w:p>
    <w:p w14:paraId="00000011" w14:textId="77777777" w:rsidR="009F2746" w:rsidRDefault="00156262">
      <w:pPr>
        <w:pBdr>
          <w:top w:val="nil"/>
          <w:left w:val="nil"/>
          <w:bottom w:val="nil"/>
          <w:right w:val="nil"/>
          <w:between w:val="nil"/>
        </w:pBdr>
        <w:spacing w:line="360" w:lineRule="auto"/>
        <w:ind w:left="0" w:hanging="2"/>
        <w:jc w:val="both"/>
        <w:rPr>
          <w:color w:val="000000"/>
        </w:rPr>
      </w:pPr>
      <w:r>
        <w:rPr>
          <w:color w:val="000000"/>
        </w:rPr>
        <w:t>Tale omessa indicazione costituisce causa di nullità, per violazione del diritto di difesa ai sensi degli artt. 24 e 111 della Costituzione, essendo incerte e diverse le forme, per ricorso o citazione, e i termini e per impugnare, anch’essi non indicati nell’avviso in questione.</w:t>
      </w:r>
    </w:p>
    <w:p w14:paraId="00000012" w14:textId="77777777" w:rsidR="009F2746" w:rsidRDefault="00156262">
      <w:pPr>
        <w:pBdr>
          <w:top w:val="nil"/>
          <w:left w:val="nil"/>
          <w:bottom w:val="nil"/>
          <w:right w:val="nil"/>
          <w:between w:val="nil"/>
        </w:pBdr>
        <w:spacing w:line="360" w:lineRule="auto"/>
        <w:ind w:left="0" w:hanging="2"/>
        <w:jc w:val="both"/>
        <w:rPr>
          <w:color w:val="000000"/>
        </w:rPr>
      </w:pPr>
      <w:r>
        <w:rPr>
          <w:color w:val="000000"/>
        </w:rPr>
        <w:t>Su questo punto non potrà essere disattesa la giurisprudenza pacifica di legittimità che in tema di conformità degli atti di intimazione di pagamento ai modelli previsti dal D.M. vigente, anche da ultimo ha chiarito come, il nucleo della questione vada ricercato “</w:t>
      </w:r>
      <w:r>
        <w:rPr>
          <w:b/>
          <w:i/>
          <w:color w:val="000000"/>
        </w:rPr>
        <w:t>nel principio di garanzia di trasparenza dell'attività amministrativa, della piena informazione e del diritto di difesa trasfuso nella L. n. 212 del 2000, art. 7, comma 2 (Statuto del Contribuente) in base al quale gli atti dell’amministrazione finanziaria e dei concessionari della riscossione devono tassativamente indicare: a) l’ufficio presso il quale è possibile ottenere informazioni complete in merito all’atto notificato o comunicato e il responsabile del procedimento; b) l’organo o l’autorità amministrativa presso i quali è possibile promuovere un riesame anche nel merito dell’atto in sede di autotutela; c) le modalità, il termine, l’organo giurisdizionale o l’autorità amministrativa cui è possibile ricorrere in caso di atti impugnabili</w:t>
      </w:r>
      <w:r>
        <w:rPr>
          <w:color w:val="000000"/>
        </w:rPr>
        <w:t>” (Sentenza Cassazione Civile n. 3281 del 11/02/2020) </w:t>
      </w:r>
    </w:p>
    <w:p w14:paraId="00000013" w14:textId="77777777" w:rsidR="009F2746" w:rsidRDefault="00156262">
      <w:pPr>
        <w:pBdr>
          <w:top w:val="nil"/>
          <w:left w:val="nil"/>
          <w:bottom w:val="nil"/>
          <w:right w:val="nil"/>
          <w:between w:val="nil"/>
        </w:pBdr>
        <w:spacing w:line="360" w:lineRule="auto"/>
        <w:ind w:left="0" w:hanging="2"/>
        <w:jc w:val="both"/>
        <w:rPr>
          <w:color w:val="000000"/>
        </w:rPr>
      </w:pPr>
      <w:r>
        <w:rPr>
          <w:color w:val="000000"/>
        </w:rPr>
        <w:lastRenderedPageBreak/>
        <w:t>La creazione di una fattispecie sanzionatoria dalle caratteristiche del tutto nuove e mai vista prima, in uno con l’omissione nell’avviso di tutte le informazioni esplicite e tassative atte a consentire al cittadino di impugnare la sanzione di €</w:t>
      </w:r>
      <w:r>
        <w:t xml:space="preserve"> </w:t>
      </w:r>
      <w:r>
        <w:rPr>
          <w:color w:val="000000"/>
        </w:rPr>
        <w:t>100,00 anche senza conferire procura a un difensore, ai sensi dell’art.82 c.p.c., ledono il diritto di difesa del sottoscritto e sono sicuri motivi per la declaratoria di illegittimità e annullamento dell’avviso stesso.</w:t>
      </w:r>
    </w:p>
    <w:p w14:paraId="00000014" w14:textId="77777777" w:rsidR="009F2746" w:rsidRDefault="00156262">
      <w:pPr>
        <w:pBdr>
          <w:top w:val="nil"/>
          <w:left w:val="nil"/>
          <w:bottom w:val="nil"/>
          <w:right w:val="nil"/>
          <w:between w:val="nil"/>
        </w:pBdr>
        <w:spacing w:line="360" w:lineRule="auto"/>
        <w:ind w:left="0" w:hanging="2"/>
        <w:jc w:val="both"/>
        <w:rPr>
          <w:color w:val="000000"/>
        </w:rPr>
      </w:pPr>
      <w:r>
        <w:rPr>
          <w:color w:val="000000"/>
        </w:rPr>
        <w:t>Per tale motivo, considerando che per pacifica giurisprudenza in materia di sanzioni amministrative il vizio di forma integrato dalla omessa indicazione delle modalità di ricorso costituisce motivo di nullità del verbale opposto, si chiede che l’Ill.mo Sig. Giudice di Pace voglia disporre l’annullamento del provvedimento impugnato.</w:t>
      </w:r>
    </w:p>
    <w:p w14:paraId="24940AA3" w14:textId="77777777" w:rsidR="00C4010D" w:rsidRDefault="00C4010D" w:rsidP="003F7401">
      <w:pPr>
        <w:pBdr>
          <w:top w:val="nil"/>
          <w:left w:val="nil"/>
          <w:bottom w:val="nil"/>
          <w:right w:val="nil"/>
          <w:between w:val="nil"/>
        </w:pBdr>
        <w:spacing w:line="360" w:lineRule="auto"/>
        <w:ind w:left="0" w:hanging="2"/>
        <w:jc w:val="center"/>
      </w:pPr>
    </w:p>
    <w:p w14:paraId="00000015" w14:textId="0F2549FC" w:rsidR="009F2746" w:rsidRDefault="003F7401" w:rsidP="003F7401">
      <w:pPr>
        <w:pBdr>
          <w:top w:val="nil"/>
          <w:left w:val="nil"/>
          <w:bottom w:val="nil"/>
          <w:right w:val="nil"/>
          <w:between w:val="nil"/>
        </w:pBdr>
        <w:spacing w:line="360" w:lineRule="auto"/>
        <w:ind w:left="0" w:hanging="2"/>
        <w:jc w:val="center"/>
      </w:pPr>
      <w:r>
        <w:t>*</w:t>
      </w:r>
    </w:p>
    <w:p w14:paraId="00000016" w14:textId="77777777" w:rsidR="009F2746" w:rsidRPr="00C4010D" w:rsidRDefault="00156262">
      <w:pPr>
        <w:pBdr>
          <w:top w:val="nil"/>
          <w:left w:val="nil"/>
          <w:bottom w:val="nil"/>
          <w:right w:val="nil"/>
          <w:between w:val="nil"/>
        </w:pBdr>
        <w:spacing w:line="360" w:lineRule="auto"/>
        <w:ind w:left="0" w:hanging="2"/>
        <w:jc w:val="both"/>
        <w:rPr>
          <w:color w:val="000000"/>
          <w:highlight w:val="yellow"/>
        </w:rPr>
      </w:pPr>
      <w:r w:rsidRPr="00C4010D">
        <w:rPr>
          <w:b/>
          <w:highlight w:val="yellow"/>
        </w:rPr>
        <w:t>2</w:t>
      </w:r>
      <w:r w:rsidRPr="00C4010D">
        <w:rPr>
          <w:b/>
          <w:color w:val="000000"/>
          <w:highlight w:val="yellow"/>
        </w:rPr>
        <w:t>)</w:t>
      </w:r>
      <w:r w:rsidRPr="00C4010D">
        <w:rPr>
          <w:b/>
          <w:color w:val="000000"/>
          <w:highlight w:val="yellow"/>
        </w:rPr>
        <w:tab/>
        <w:t xml:space="preserve">nullità della sanzione </w:t>
      </w:r>
      <w:bookmarkStart w:id="6" w:name="_Hlk122507489"/>
      <w:r w:rsidRPr="00C4010D">
        <w:rPr>
          <w:b/>
          <w:color w:val="000000"/>
          <w:highlight w:val="yellow"/>
        </w:rPr>
        <w:t>per omesso invio della comunicazione ex art. 4-sexies, co. 4, del decreto-legge 1° aprile 2021</w:t>
      </w:r>
      <w:bookmarkEnd w:id="6"/>
      <w:r w:rsidRPr="00C4010D">
        <w:rPr>
          <w:b/>
          <w:color w:val="000000"/>
          <w:highlight w:val="yellow"/>
        </w:rPr>
        <w:t>.</w:t>
      </w:r>
      <w:r w:rsidRPr="00C4010D">
        <w:rPr>
          <w:b/>
          <w:color w:val="000000"/>
          <w:highlight w:val="yellow"/>
          <w:vertAlign w:val="superscript"/>
        </w:rPr>
        <w:footnoteReference w:id="8"/>
      </w:r>
    </w:p>
    <w:p w14:paraId="00000017" w14:textId="77777777" w:rsidR="009F2746" w:rsidRPr="00C4010D" w:rsidRDefault="00156262">
      <w:pPr>
        <w:pBdr>
          <w:top w:val="nil"/>
          <w:left w:val="nil"/>
          <w:bottom w:val="nil"/>
          <w:right w:val="nil"/>
          <w:between w:val="nil"/>
        </w:pBdr>
        <w:spacing w:line="360" w:lineRule="auto"/>
        <w:ind w:left="0" w:hanging="2"/>
        <w:jc w:val="both"/>
        <w:rPr>
          <w:color w:val="000000"/>
          <w:highlight w:val="yellow"/>
        </w:rPr>
      </w:pPr>
      <w:r w:rsidRPr="00C4010D">
        <w:rPr>
          <w:color w:val="000000"/>
          <w:highlight w:val="yellow"/>
        </w:rPr>
        <w:t>L’articolo indicato in rubrica di capitolo dispone: “</w:t>
      </w:r>
      <w:r w:rsidRPr="00C4010D">
        <w:rPr>
          <w:i/>
          <w:color w:val="000000"/>
          <w:highlight w:val="yellow"/>
        </w:rPr>
        <w:t>Il Ministero della salute, avvalendosi dell'Agenzia  delle entrate-Riscossione comunica ai soggetti inadempienti  l'avvio del procedimento sanzionatorio e indica ai destinatari il termine perentorio di dieci giorni dalla ricezione, per comunicare all'Azienda sanitaria locale competente per territorio l'eventuale certificazione relativa al differimento o all'esenzione  dall'obbligo vaccinale, ovvero altra ragione di assoluta e oggettiva impossibilità. Entro il medesimo termine, gli stessi destinatari danno notizia all'Agenzia delle entrate-Riscossione dell'avvenuta presentazione di tale comunicazione</w:t>
      </w:r>
      <w:r w:rsidRPr="00C4010D">
        <w:rPr>
          <w:color w:val="000000"/>
          <w:highlight w:val="yellow"/>
        </w:rPr>
        <w:t>”.</w:t>
      </w:r>
    </w:p>
    <w:p w14:paraId="00000018" w14:textId="77777777" w:rsidR="009F2746" w:rsidRPr="00C4010D" w:rsidRDefault="00156262">
      <w:pPr>
        <w:pBdr>
          <w:top w:val="nil"/>
          <w:left w:val="nil"/>
          <w:bottom w:val="nil"/>
          <w:right w:val="nil"/>
          <w:between w:val="nil"/>
        </w:pBdr>
        <w:spacing w:line="360" w:lineRule="auto"/>
        <w:ind w:left="0" w:hanging="2"/>
        <w:jc w:val="both"/>
        <w:rPr>
          <w:color w:val="000000"/>
          <w:highlight w:val="yellow"/>
        </w:rPr>
      </w:pPr>
      <w:r w:rsidRPr="00C4010D">
        <w:rPr>
          <w:color w:val="000000"/>
          <w:highlight w:val="yellow"/>
        </w:rPr>
        <w:t xml:space="preserve">A differenza di quanto previsto dalla norma al sottoscritto non è stato recapitato alcun avviso, e pertanto </w:t>
      </w:r>
      <w:r w:rsidRPr="00C4010D">
        <w:rPr>
          <w:highlight w:val="yellow"/>
        </w:rPr>
        <w:t>vi è deprivazione</w:t>
      </w:r>
      <w:r w:rsidRPr="00C4010D">
        <w:rPr>
          <w:color w:val="000000"/>
          <w:highlight w:val="yellow"/>
        </w:rPr>
        <w:t xml:space="preserve"> del diritto di interloquire con il titolare e/o con il responsabile del trattamento dei suoi dati di salute, ovvero con un soggetto da loro forma</w:t>
      </w:r>
      <w:r w:rsidRPr="00C4010D">
        <w:rPr>
          <w:highlight w:val="yellow"/>
        </w:rPr>
        <w:t xml:space="preserve">lmente </w:t>
      </w:r>
      <w:r w:rsidRPr="00C4010D">
        <w:rPr>
          <w:color w:val="000000"/>
          <w:highlight w:val="yellow"/>
        </w:rPr>
        <w:t>incaricato, in relazione alla vaccinazione di cui si tratta.</w:t>
      </w:r>
    </w:p>
    <w:p w14:paraId="00000019" w14:textId="77777777" w:rsidR="009F2746" w:rsidRPr="00C4010D" w:rsidRDefault="00156262">
      <w:pPr>
        <w:pBdr>
          <w:top w:val="nil"/>
          <w:left w:val="nil"/>
          <w:bottom w:val="nil"/>
          <w:right w:val="nil"/>
          <w:between w:val="nil"/>
        </w:pBdr>
        <w:spacing w:line="360" w:lineRule="auto"/>
        <w:ind w:left="0" w:hanging="2"/>
        <w:jc w:val="both"/>
        <w:rPr>
          <w:color w:val="000000"/>
          <w:highlight w:val="yellow"/>
        </w:rPr>
      </w:pPr>
      <w:r w:rsidRPr="00C4010D">
        <w:rPr>
          <w:color w:val="000000"/>
          <w:highlight w:val="yellow"/>
        </w:rPr>
        <w:t>Ciò è avvenuto in violazione dell’art. 22 (“</w:t>
      </w:r>
      <w:r w:rsidRPr="00C4010D">
        <w:rPr>
          <w:i/>
          <w:color w:val="000000"/>
          <w:highlight w:val="yellow"/>
        </w:rPr>
        <w:t>Processo decisionale automatizzato relativo alle persone fisiche, compresa la profilazione</w:t>
      </w:r>
      <w:r w:rsidRPr="00C4010D">
        <w:rPr>
          <w:color w:val="000000"/>
          <w:highlight w:val="yellow"/>
        </w:rPr>
        <w:t>”) del Regolamento (UE) 2016/679 del Parlamento europeo e del Consiglio, del 27 aprile 2016 il quale prescrive che l’interessato – titolare dei dati-  ha il diritto di non essere sottoposto a una decisione basata unicamente sul trattamento automatizzato che produca effetti giuridici che lo riguardano o che incida in modo analogo significativamente sulla sua persona.</w:t>
      </w:r>
    </w:p>
    <w:p w14:paraId="0000001A" w14:textId="77777777" w:rsidR="009F2746" w:rsidRPr="00C4010D" w:rsidRDefault="00156262">
      <w:pPr>
        <w:pBdr>
          <w:top w:val="nil"/>
          <w:left w:val="nil"/>
          <w:bottom w:val="nil"/>
          <w:right w:val="nil"/>
          <w:between w:val="nil"/>
        </w:pBdr>
        <w:spacing w:line="360" w:lineRule="auto"/>
        <w:ind w:left="0" w:hanging="2"/>
        <w:jc w:val="both"/>
        <w:rPr>
          <w:color w:val="000000"/>
          <w:highlight w:val="yellow"/>
        </w:rPr>
      </w:pPr>
      <w:r w:rsidRPr="00C4010D">
        <w:rPr>
          <w:color w:val="000000"/>
          <w:highlight w:val="yellow"/>
        </w:rPr>
        <w:lastRenderedPageBreak/>
        <w:t>È evidente che il sottoscritto, nell</w:t>
      </w:r>
      <w:r w:rsidRPr="00C4010D">
        <w:rPr>
          <w:highlight w:val="yellow"/>
        </w:rPr>
        <w:t xml:space="preserve">’essere stato </w:t>
      </w:r>
      <w:r w:rsidRPr="00C4010D">
        <w:rPr>
          <w:color w:val="000000"/>
          <w:highlight w:val="yellow"/>
        </w:rPr>
        <w:t>colpito da una misura sanzionatoria, aveva tutto l’interesse ad interagire con un funzionario e/o con qualsiasi altro soggetto responsabile del procedimento al fine di contestare efficacemente, e fin da subito, l’avviso stesso e comunque prima di venire assoggettato a sanzione per l’effetto di una decisione adottata senza il suo consenso e sulla sola base di processi decisori automatici di scambio di informazioni tra banche dati vietat</w:t>
      </w:r>
      <w:r w:rsidRPr="00C4010D">
        <w:rPr>
          <w:highlight w:val="yellow"/>
        </w:rPr>
        <w:t>i</w:t>
      </w:r>
      <w:r w:rsidRPr="00C4010D">
        <w:rPr>
          <w:color w:val="000000"/>
          <w:highlight w:val="yellow"/>
        </w:rPr>
        <w:t xml:space="preserve"> dall’art. 22 citato.</w:t>
      </w:r>
    </w:p>
    <w:p w14:paraId="0000001B" w14:textId="77777777" w:rsidR="009F2746" w:rsidRDefault="00156262">
      <w:pPr>
        <w:pBdr>
          <w:top w:val="nil"/>
          <w:left w:val="nil"/>
          <w:bottom w:val="nil"/>
          <w:right w:val="nil"/>
          <w:between w:val="nil"/>
        </w:pBdr>
        <w:spacing w:line="360" w:lineRule="auto"/>
        <w:ind w:left="0" w:hanging="2"/>
        <w:jc w:val="both"/>
        <w:rPr>
          <w:color w:val="000000"/>
        </w:rPr>
      </w:pPr>
      <w:r w:rsidRPr="00C4010D">
        <w:rPr>
          <w:highlight w:val="yellow"/>
        </w:rPr>
        <w:t xml:space="preserve">Evidente </w:t>
      </w:r>
      <w:r w:rsidRPr="00C4010D">
        <w:rPr>
          <w:color w:val="000000"/>
          <w:highlight w:val="yellow"/>
        </w:rPr>
        <w:t xml:space="preserve">che il mancato riconoscimento all’opponente del diritto di esprimere opinioni o anche, direttamente, di contestare l’avvio del procedimento sanzionatorio in suo danno, rende </w:t>
      </w:r>
      <w:r w:rsidRPr="00C4010D">
        <w:rPr>
          <w:highlight w:val="yellow"/>
        </w:rPr>
        <w:t>illegittimo il processo decisorio automatizzato e la</w:t>
      </w:r>
      <w:r w:rsidRPr="00C4010D">
        <w:rPr>
          <w:color w:val="000000"/>
          <w:highlight w:val="yellow"/>
        </w:rPr>
        <w:t xml:space="preserve"> sanzione notificatagli meritevole di annullamento.</w:t>
      </w:r>
    </w:p>
    <w:p w14:paraId="0000001C" w14:textId="2A889F24" w:rsidR="009F2746" w:rsidRPr="00DB067A" w:rsidRDefault="00DB067A" w:rsidP="00DB067A">
      <w:pPr>
        <w:pBdr>
          <w:top w:val="nil"/>
          <w:left w:val="nil"/>
          <w:bottom w:val="nil"/>
          <w:right w:val="nil"/>
          <w:between w:val="nil"/>
        </w:pBdr>
        <w:spacing w:line="360" w:lineRule="auto"/>
        <w:ind w:left="0" w:hanging="2"/>
        <w:jc w:val="center"/>
        <w:rPr>
          <w:vertAlign w:val="superscript"/>
        </w:rPr>
      </w:pPr>
      <w:r>
        <w:rPr>
          <w:vertAlign w:val="superscript"/>
        </w:rPr>
        <w:t>*</w:t>
      </w:r>
    </w:p>
    <w:p w14:paraId="0000001D" w14:textId="77777777" w:rsidR="009F2746" w:rsidRPr="00DB067A" w:rsidRDefault="00156262">
      <w:pPr>
        <w:widowControl w:val="0"/>
        <w:pBdr>
          <w:top w:val="nil"/>
          <w:left w:val="nil"/>
          <w:bottom w:val="nil"/>
          <w:right w:val="nil"/>
          <w:between w:val="nil"/>
        </w:pBdr>
        <w:tabs>
          <w:tab w:val="left" w:pos="2835"/>
        </w:tabs>
        <w:spacing w:line="360" w:lineRule="auto"/>
        <w:ind w:left="0" w:right="567" w:hanging="2"/>
        <w:jc w:val="both"/>
        <w:rPr>
          <w:color w:val="000000"/>
          <w:highlight w:val="yellow"/>
        </w:rPr>
      </w:pPr>
      <w:r w:rsidRPr="00DB067A">
        <w:rPr>
          <w:b/>
          <w:highlight w:val="yellow"/>
        </w:rPr>
        <w:t>3</w:t>
      </w:r>
      <w:r w:rsidRPr="00DB067A">
        <w:rPr>
          <w:b/>
          <w:color w:val="000000"/>
          <w:highlight w:val="yellow"/>
        </w:rPr>
        <w:t xml:space="preserve">) tardività </w:t>
      </w:r>
      <w:r w:rsidRPr="00DB067A">
        <w:rPr>
          <w:b/>
          <w:highlight w:val="yellow"/>
        </w:rPr>
        <w:t>della</w:t>
      </w:r>
      <w:r w:rsidRPr="00DB067A">
        <w:rPr>
          <w:b/>
          <w:color w:val="000000"/>
          <w:highlight w:val="yellow"/>
        </w:rPr>
        <w:t xml:space="preserve"> notifica dell’avviso di addebito.</w:t>
      </w:r>
      <w:r w:rsidRPr="00DB067A">
        <w:rPr>
          <w:b/>
          <w:color w:val="000000"/>
          <w:highlight w:val="yellow"/>
          <w:vertAlign w:val="superscript"/>
        </w:rPr>
        <w:footnoteReference w:id="9"/>
      </w:r>
    </w:p>
    <w:p w14:paraId="0000001E" w14:textId="77777777" w:rsidR="009F2746" w:rsidRPr="00DB067A" w:rsidRDefault="00156262">
      <w:pPr>
        <w:widowControl w:val="0"/>
        <w:pBdr>
          <w:top w:val="nil"/>
          <w:left w:val="nil"/>
          <w:bottom w:val="nil"/>
          <w:right w:val="nil"/>
          <w:between w:val="nil"/>
        </w:pBdr>
        <w:tabs>
          <w:tab w:val="left" w:pos="426"/>
          <w:tab w:val="left" w:pos="1418"/>
          <w:tab w:val="left" w:pos="7938"/>
          <w:tab w:val="left" w:pos="8505"/>
        </w:tabs>
        <w:spacing w:line="360" w:lineRule="auto"/>
        <w:ind w:left="0" w:right="4" w:hanging="2"/>
        <w:jc w:val="both"/>
        <w:rPr>
          <w:color w:val="000000"/>
          <w:highlight w:val="yellow"/>
        </w:rPr>
      </w:pPr>
      <w:r w:rsidRPr="00DB067A">
        <w:rPr>
          <w:color w:val="000000"/>
          <w:highlight w:val="yellow"/>
        </w:rPr>
        <w:t>L’istante ha ricevuto l’avviso di avvio del procedimento sanzionatorio in data _______, ai sensi dell’art.4 sexies DL n.44/2021, convertito in L.n.76/2021, che è stato introdotto dal DL n.1/2022, convertito in L.n.18 del 04/03/2022.</w:t>
      </w:r>
    </w:p>
    <w:p w14:paraId="0000001F" w14:textId="77777777" w:rsidR="009F2746" w:rsidRPr="00DB067A" w:rsidRDefault="00156262">
      <w:pPr>
        <w:widowControl w:val="0"/>
        <w:pBdr>
          <w:top w:val="nil"/>
          <w:left w:val="nil"/>
          <w:bottom w:val="nil"/>
          <w:right w:val="nil"/>
          <w:between w:val="nil"/>
        </w:pBdr>
        <w:tabs>
          <w:tab w:val="left" w:pos="426"/>
          <w:tab w:val="left" w:pos="1418"/>
          <w:tab w:val="left" w:pos="7938"/>
          <w:tab w:val="left" w:pos="9067"/>
        </w:tabs>
        <w:spacing w:line="360" w:lineRule="auto"/>
        <w:ind w:left="0" w:right="4" w:hanging="2"/>
        <w:jc w:val="both"/>
        <w:rPr>
          <w:color w:val="000000"/>
          <w:highlight w:val="yellow"/>
        </w:rPr>
      </w:pPr>
      <w:r w:rsidRPr="00DB067A">
        <w:rPr>
          <w:color w:val="000000"/>
          <w:highlight w:val="yellow"/>
        </w:rPr>
        <w:t xml:space="preserve">Il testo dell’art.4 sexies citato, nella sua formulazione originaria prevedeva che </w:t>
      </w:r>
      <w:bookmarkStart w:id="8" w:name="_Hlk122507848"/>
      <w:r w:rsidRPr="00DB067A">
        <w:rPr>
          <w:color w:val="000000"/>
          <w:highlight w:val="yellow"/>
        </w:rPr>
        <w:t xml:space="preserve">l’Agenzia delle Entrate e Riscossione dovesse notificare l’avviso di addebito entro 180 giorni </w:t>
      </w:r>
      <w:bookmarkEnd w:id="8"/>
      <w:r w:rsidRPr="00DB067A">
        <w:rPr>
          <w:color w:val="000000"/>
          <w:highlight w:val="yellow"/>
        </w:rPr>
        <w:t>che sono ampiamente trascorsi.</w:t>
      </w:r>
    </w:p>
    <w:p w14:paraId="00000020" w14:textId="77777777" w:rsidR="009F2746" w:rsidRDefault="00156262">
      <w:pPr>
        <w:widowControl w:val="0"/>
        <w:pBdr>
          <w:top w:val="nil"/>
          <w:left w:val="nil"/>
          <w:bottom w:val="nil"/>
          <w:right w:val="nil"/>
          <w:between w:val="nil"/>
        </w:pBdr>
        <w:tabs>
          <w:tab w:val="left" w:pos="426"/>
          <w:tab w:val="left" w:pos="1418"/>
          <w:tab w:val="left" w:pos="7938"/>
          <w:tab w:val="left" w:pos="8505"/>
        </w:tabs>
        <w:spacing w:line="360" w:lineRule="auto"/>
        <w:ind w:left="0" w:right="4" w:hanging="2"/>
        <w:jc w:val="both"/>
        <w:rPr>
          <w:color w:val="000000"/>
        </w:rPr>
      </w:pPr>
      <w:r w:rsidRPr="00DB067A">
        <w:rPr>
          <w:color w:val="000000"/>
          <w:highlight w:val="yellow"/>
        </w:rPr>
        <w:t>Trattandosi di irrogazione di sanzioni amministrative, sia pure pecuniarie, è indubbio che si applica in questo caso la legge più favorevole e in vigore al momento dell’avvio del procedimento amministrativo.</w:t>
      </w:r>
    </w:p>
    <w:p w14:paraId="00000021" w14:textId="26BB89FC" w:rsidR="009F2746" w:rsidRDefault="00DB067A" w:rsidP="00DB067A">
      <w:pPr>
        <w:widowControl w:val="0"/>
        <w:pBdr>
          <w:top w:val="nil"/>
          <w:left w:val="nil"/>
          <w:bottom w:val="nil"/>
          <w:right w:val="nil"/>
          <w:between w:val="nil"/>
        </w:pBdr>
        <w:tabs>
          <w:tab w:val="left" w:pos="426"/>
          <w:tab w:val="left" w:pos="1418"/>
          <w:tab w:val="left" w:pos="7938"/>
          <w:tab w:val="left" w:pos="8505"/>
        </w:tabs>
        <w:spacing w:line="360" w:lineRule="auto"/>
        <w:ind w:left="0" w:right="4" w:hanging="2"/>
        <w:jc w:val="center"/>
      </w:pPr>
      <w:r>
        <w:t>*</w:t>
      </w:r>
    </w:p>
    <w:p w14:paraId="00000022" w14:textId="77777777" w:rsidR="009F2746" w:rsidRPr="00DB067A" w:rsidRDefault="00156262">
      <w:pPr>
        <w:spacing w:line="360" w:lineRule="auto"/>
        <w:ind w:left="0" w:hanging="2"/>
        <w:jc w:val="both"/>
        <w:rPr>
          <w:highlight w:val="yellow"/>
          <w:u w:val="single"/>
        </w:rPr>
      </w:pPr>
      <w:r>
        <w:rPr>
          <w:b/>
        </w:rPr>
        <w:t xml:space="preserve">    </w:t>
      </w:r>
      <w:r w:rsidRPr="00C4010D">
        <w:rPr>
          <w:b/>
        </w:rPr>
        <w:t>4) Insussistenza dell’obbligo di sottoporsi a ciclo vaccinale primario</w:t>
      </w:r>
      <w:r w:rsidRPr="00DB067A">
        <w:rPr>
          <w:b/>
          <w:highlight w:val="yellow"/>
          <w:vertAlign w:val="superscript"/>
        </w:rPr>
        <w:footnoteReference w:id="10"/>
      </w:r>
    </w:p>
    <w:p w14:paraId="00000023" w14:textId="77777777" w:rsidR="009F2746" w:rsidRPr="00DB067A" w:rsidRDefault="00156262">
      <w:pPr>
        <w:spacing w:line="360" w:lineRule="auto"/>
        <w:ind w:left="0" w:hanging="2"/>
        <w:jc w:val="both"/>
        <w:rPr>
          <w:highlight w:val="yellow"/>
        </w:rPr>
      </w:pPr>
      <w:r w:rsidRPr="00DB067A">
        <w:rPr>
          <w:highlight w:val="yellow"/>
        </w:rPr>
        <w:t xml:space="preserve">Il ricorrente precisa di essere stato sprovvisto del green pass per aver effettuato la scelta di non sottoporsi alla vaccinazione. </w:t>
      </w:r>
    </w:p>
    <w:p w14:paraId="00000024" w14:textId="77777777" w:rsidR="009F2746" w:rsidRDefault="00156262">
      <w:pPr>
        <w:spacing w:line="360" w:lineRule="auto"/>
        <w:ind w:left="0" w:hanging="2"/>
        <w:jc w:val="both"/>
      </w:pPr>
      <w:r w:rsidRPr="00DB067A">
        <w:rPr>
          <w:highlight w:val="yellow"/>
        </w:rPr>
        <w:t>L’esponente, attesi gli effetti avversi che si sono verificati a seguito della inoculazione del vaccino ed hanno causato lesioni irreversibili e persino mortali, ha deciso di tutelare la propria salute e quindi di non osservare il dettato normativo.</w:t>
      </w:r>
      <w:r>
        <w:t xml:space="preserve">    </w:t>
      </w:r>
    </w:p>
    <w:p w14:paraId="562390D4" w14:textId="5402E51A" w:rsidR="00C4010D" w:rsidRDefault="00156262">
      <w:pPr>
        <w:spacing w:line="360" w:lineRule="auto"/>
        <w:ind w:left="0" w:hanging="2"/>
        <w:jc w:val="both"/>
      </w:pPr>
      <w:r>
        <w:t xml:space="preserve">Sebbene </w:t>
      </w:r>
      <w:r w:rsidR="00C4010D">
        <w:t>la</w:t>
      </w:r>
      <w:r>
        <w:t xml:space="preserve"> decisione </w:t>
      </w:r>
      <w:r w:rsidR="00C4010D">
        <w:t xml:space="preserve">di non sottoporsi alla vaccinazione anti covid-19 dell’obbligato ultracinquantenne </w:t>
      </w:r>
      <w:r>
        <w:t xml:space="preserve">costituisca violazione della norma impositiva di cui all’art. 4-sexies del </w:t>
      </w:r>
      <w:r>
        <w:lastRenderedPageBreak/>
        <w:t xml:space="preserve">decreto-legge n. 44/2021, </w:t>
      </w:r>
      <w:r w:rsidR="00C4010D">
        <w:t xml:space="preserve">la norma si pone </w:t>
      </w:r>
      <w:r>
        <w:t>in netto contrasto con il Considerando 36 del Reg. 953/2021 che vieta la discriminazione di coloro che hanno scelto di non vaccinarsi</w:t>
      </w:r>
      <w:r w:rsidR="00C4010D">
        <w:t>.</w:t>
      </w:r>
    </w:p>
    <w:p w14:paraId="00000025" w14:textId="78F02C33" w:rsidR="009F2746" w:rsidRDefault="00C4010D">
      <w:pPr>
        <w:spacing w:line="360" w:lineRule="auto"/>
        <w:ind w:left="0" w:hanging="2"/>
        <w:jc w:val="both"/>
      </w:pPr>
      <w:r>
        <w:t>L</w:t>
      </w:r>
      <w:r w:rsidR="00156262">
        <w:t>a stessa condotta del ricorrente trova anche ampia giustificazione nel disposto di cui all’art. 5 codice civile, a tenore del quale “</w:t>
      </w:r>
      <w:r w:rsidR="00156262">
        <w:rPr>
          <w:i/>
        </w:rPr>
        <w:t>gli atti di disposizione del proprio corpo sono vietati quando cagionino una diminuzione permanente dell’integrità fisica</w:t>
      </w:r>
      <w:r w:rsidR="00156262">
        <w:t>”.</w:t>
      </w:r>
    </w:p>
    <w:p w14:paraId="00000026" w14:textId="346ED9A3" w:rsidR="009F2746" w:rsidRDefault="00156262">
      <w:pPr>
        <w:spacing w:line="360" w:lineRule="auto"/>
        <w:ind w:left="0" w:hanging="2"/>
        <w:jc w:val="both"/>
      </w:pPr>
      <w:r>
        <w:t>Conseguentemente, il ricorrente deve ritenersi giustificato per aver adempiuto al dovere di non procurare volontariamente danni al corpo ed alla salute propri</w:t>
      </w:r>
      <w:r w:rsidR="00DB067A">
        <w:t>a</w:t>
      </w:r>
      <w:r>
        <w:t xml:space="preserve">, anche se solo ad un livello putativo (cioè ipotetico e/o presunto) proprio in considerazione degli effetti avversi anche mortali verificatisi su molti individui e che avrebbero potuto quindi manifestarsi anche sulla sua persona qualora si fosse sottoposto alla vaccinazione (si veda l’ultimo report AIFA del settembre 2022 che dà atto di </w:t>
      </w:r>
      <w:r w:rsidR="00DB067A">
        <w:t xml:space="preserve">139.622 </w:t>
      </w:r>
      <w:r>
        <w:t xml:space="preserve">segnalazioni gravi -in attesa di esame- </w:t>
      </w:r>
      <w:r w:rsidR="00DB067A">
        <w:t xml:space="preserve">nonché 955 eventi mortali, di cui </w:t>
      </w:r>
      <w:r>
        <w:t xml:space="preserve">ben 29 decessi </w:t>
      </w:r>
      <w:r w:rsidR="00DB067A">
        <w:t xml:space="preserve">correlati </w:t>
      </w:r>
      <w:r>
        <w:t>al vaccino anti-covid19).</w:t>
      </w:r>
    </w:p>
    <w:p w14:paraId="1BA021C0" w14:textId="1A65D46F" w:rsidR="00DB067A" w:rsidRDefault="00DB067A" w:rsidP="00D271FD">
      <w:pPr>
        <w:spacing w:line="360" w:lineRule="auto"/>
        <w:ind w:left="0" w:hanging="2"/>
        <w:jc w:val="both"/>
      </w:pPr>
      <w:r>
        <w:t xml:space="preserve">Del tutto evidente </w:t>
      </w:r>
      <w:r w:rsidR="005021EC">
        <w:t xml:space="preserve">la giustificazione di cui all’art. 5 codice civile, in combinato con </w:t>
      </w:r>
      <w:r w:rsidR="00D271FD">
        <w:t>la</w:t>
      </w:r>
      <w:r w:rsidR="005021EC">
        <w:t xml:space="preserve"> corrispondente</w:t>
      </w:r>
      <w:r w:rsidR="00D271FD">
        <w:t xml:space="preserve"> causa di non punibilità di cui all’art. 4 Legge 689/1981 in base al quale</w:t>
      </w:r>
      <w:r w:rsidR="005021EC">
        <w:t xml:space="preserve"> </w:t>
      </w:r>
      <w:r w:rsidR="00D271FD">
        <w:t>“</w:t>
      </w:r>
      <w:r w:rsidR="00A75262" w:rsidRPr="00D271FD">
        <w:rPr>
          <w:i/>
        </w:rPr>
        <w:t>Non risponde delle violazioni amministrative chi ha commesso il</w:t>
      </w:r>
      <w:r w:rsidR="00D271FD" w:rsidRPr="00D271FD">
        <w:rPr>
          <w:i/>
        </w:rPr>
        <w:t xml:space="preserve"> </w:t>
      </w:r>
      <w:r w:rsidR="00A75262" w:rsidRPr="00D271FD">
        <w:rPr>
          <w:i/>
        </w:rPr>
        <w:t xml:space="preserve">fatto nell'adempimento di un dovere o nell'esercizio di una </w:t>
      </w:r>
      <w:r w:rsidR="00D271FD" w:rsidRPr="00D271FD">
        <w:rPr>
          <w:i/>
        </w:rPr>
        <w:t>f</w:t>
      </w:r>
      <w:r w:rsidR="00A75262" w:rsidRPr="00D271FD">
        <w:rPr>
          <w:i/>
        </w:rPr>
        <w:t>acolt</w:t>
      </w:r>
      <w:r w:rsidR="00D271FD" w:rsidRPr="00D271FD">
        <w:rPr>
          <w:i/>
        </w:rPr>
        <w:t xml:space="preserve">à </w:t>
      </w:r>
      <w:r w:rsidR="00A75262" w:rsidRPr="00D271FD">
        <w:rPr>
          <w:i/>
        </w:rPr>
        <w:t>legittima ovvero in stato di necessit</w:t>
      </w:r>
      <w:r w:rsidR="00D271FD" w:rsidRPr="00D271FD">
        <w:rPr>
          <w:i/>
        </w:rPr>
        <w:t>à</w:t>
      </w:r>
      <w:r w:rsidR="00A75262" w:rsidRPr="00D271FD">
        <w:rPr>
          <w:i/>
        </w:rPr>
        <w:t xml:space="preserve"> o di legittima difesa</w:t>
      </w:r>
      <w:r w:rsidR="00D271FD">
        <w:t>”.</w:t>
      </w:r>
    </w:p>
    <w:p w14:paraId="00000027" w14:textId="77777777" w:rsidR="009F2746" w:rsidRDefault="00156262">
      <w:pPr>
        <w:spacing w:line="360" w:lineRule="auto"/>
        <w:ind w:left="0" w:hanging="2"/>
        <w:jc w:val="both"/>
      </w:pPr>
      <w:r>
        <w:t>L’argomentazione sopra esposta è stata perciò accolta in una recente sentenza resa dal Giudice di Pace di Chiavari (n. 312 del 27/10/2022) il quale ha precisato altresì come il legislatore abbia evitato di imporre un obbligo generalizzato della vaccinazione, atteso che i vaccini sono stati autorizzati solo in via condizionata, optando per l’adozione in via indiretta di misure coercitive volte ad “incentivare” i cittadini ad aderire “volontariamente ma non spontaneamente” alla vaccinazione.</w:t>
      </w:r>
    </w:p>
    <w:p w14:paraId="00000028" w14:textId="5D632391" w:rsidR="009F2746" w:rsidRDefault="00C4010D">
      <w:pPr>
        <w:spacing w:line="360" w:lineRule="auto"/>
        <w:ind w:left="0" w:hanging="2"/>
        <w:jc w:val="both"/>
      </w:pPr>
      <w:r>
        <w:t>A</w:t>
      </w:r>
      <w:r w:rsidR="00156262">
        <w:t>ffermato come la salute sia “</w:t>
      </w:r>
      <w:r w:rsidR="00156262" w:rsidRPr="00DB067A">
        <w:rPr>
          <w:i/>
        </w:rPr>
        <w:t>fondamentale diritto dell'individuo e interesse della collettività</w:t>
      </w:r>
      <w:r w:rsidR="00156262">
        <w:t>” e nel rispetto del divieto di atti di pregiudizievoli o dannosi sul proprio corpo, l’obbligo vaccinale ex art. 4-sexies decreto-legge n. 44/2021 deve ritenersi insussistente a conferma del principio personalistico di cui alla Carta fondamentale di autodeterminazione e libertà di cura di ciascun individuo.</w:t>
      </w:r>
    </w:p>
    <w:p w14:paraId="0000002A" w14:textId="78863331" w:rsidR="009F2746" w:rsidRDefault="005021EC" w:rsidP="005021EC">
      <w:pPr>
        <w:widowControl w:val="0"/>
        <w:pBdr>
          <w:top w:val="nil"/>
          <w:left w:val="nil"/>
          <w:bottom w:val="nil"/>
          <w:right w:val="nil"/>
          <w:between w:val="nil"/>
        </w:pBdr>
        <w:tabs>
          <w:tab w:val="left" w:pos="426"/>
          <w:tab w:val="left" w:pos="1418"/>
          <w:tab w:val="left" w:pos="7938"/>
          <w:tab w:val="left" w:pos="8505"/>
        </w:tabs>
        <w:spacing w:line="360" w:lineRule="auto"/>
        <w:ind w:leftChars="0" w:left="0" w:right="567" w:firstLineChars="0" w:firstLine="0"/>
        <w:jc w:val="center"/>
        <w:rPr>
          <w:b/>
        </w:rPr>
      </w:pPr>
      <w:r>
        <w:rPr>
          <w:b/>
        </w:rPr>
        <w:t>*</w:t>
      </w:r>
    </w:p>
    <w:p w14:paraId="0000002B" w14:textId="6C2DBC7A" w:rsidR="009F2746" w:rsidRPr="005021EC" w:rsidRDefault="00156262">
      <w:pPr>
        <w:widowControl w:val="0"/>
        <w:pBdr>
          <w:top w:val="nil"/>
          <w:left w:val="nil"/>
          <w:bottom w:val="nil"/>
          <w:right w:val="nil"/>
          <w:between w:val="nil"/>
        </w:pBdr>
        <w:tabs>
          <w:tab w:val="left" w:pos="426"/>
          <w:tab w:val="left" w:pos="1418"/>
          <w:tab w:val="left" w:pos="7938"/>
          <w:tab w:val="left" w:pos="8505"/>
        </w:tabs>
        <w:spacing w:line="360" w:lineRule="auto"/>
        <w:ind w:left="0" w:right="567" w:hanging="2"/>
        <w:jc w:val="both"/>
        <w:rPr>
          <w:color w:val="000000"/>
          <w:highlight w:val="yellow"/>
        </w:rPr>
      </w:pPr>
      <w:r w:rsidRPr="005021EC">
        <w:rPr>
          <w:b/>
          <w:highlight w:val="yellow"/>
        </w:rPr>
        <w:t>5</w:t>
      </w:r>
      <w:r w:rsidRPr="005021EC">
        <w:rPr>
          <w:b/>
          <w:color w:val="000000"/>
          <w:highlight w:val="yellow"/>
        </w:rPr>
        <w:t xml:space="preserve">) Insussistenza dell’obbligo di sottoporsi </w:t>
      </w:r>
      <w:r w:rsidRPr="005021EC">
        <w:rPr>
          <w:b/>
          <w:highlight w:val="yellow"/>
        </w:rPr>
        <w:t>al ciclo</w:t>
      </w:r>
      <w:r w:rsidRPr="005021EC">
        <w:rPr>
          <w:b/>
          <w:color w:val="000000"/>
          <w:highlight w:val="yellow"/>
        </w:rPr>
        <w:t xml:space="preserve"> vaccinale primario</w:t>
      </w:r>
      <w:r w:rsidR="00C4010D">
        <w:rPr>
          <w:b/>
          <w:color w:val="000000"/>
          <w:highlight w:val="yellow"/>
        </w:rPr>
        <w:t xml:space="preserve"> – immunità naturale.</w:t>
      </w:r>
      <w:r w:rsidRPr="005021EC">
        <w:rPr>
          <w:b/>
          <w:color w:val="000000"/>
          <w:highlight w:val="yellow"/>
          <w:vertAlign w:val="superscript"/>
        </w:rPr>
        <w:footnoteReference w:id="11"/>
      </w:r>
    </w:p>
    <w:p w14:paraId="0000002C" w14:textId="77777777" w:rsidR="009F2746" w:rsidRPr="005021EC" w:rsidRDefault="00156262">
      <w:pPr>
        <w:widowControl w:val="0"/>
        <w:pBdr>
          <w:top w:val="nil"/>
          <w:left w:val="nil"/>
          <w:bottom w:val="nil"/>
          <w:right w:val="nil"/>
          <w:between w:val="nil"/>
        </w:pBdr>
        <w:tabs>
          <w:tab w:val="left" w:pos="426"/>
          <w:tab w:val="left" w:pos="1418"/>
          <w:tab w:val="left" w:pos="7938"/>
          <w:tab w:val="left" w:pos="8505"/>
        </w:tabs>
        <w:spacing w:line="360" w:lineRule="auto"/>
        <w:ind w:left="0" w:right="567" w:hanging="2"/>
        <w:jc w:val="both"/>
        <w:rPr>
          <w:color w:val="000000"/>
          <w:highlight w:val="yellow"/>
        </w:rPr>
      </w:pPr>
      <w:r w:rsidRPr="005021EC">
        <w:rPr>
          <w:color w:val="000000"/>
          <w:highlight w:val="yellow"/>
        </w:rPr>
        <w:t xml:space="preserve">L’istante in data ______ ha contratto il virus covid 19 ed è risultato guarito in data </w:t>
      </w:r>
      <w:r w:rsidRPr="005021EC">
        <w:rPr>
          <w:color w:val="000000"/>
          <w:highlight w:val="yellow"/>
        </w:rPr>
        <w:lastRenderedPageBreak/>
        <w:t>______, come attestato dal certificato che si allega.</w:t>
      </w:r>
    </w:p>
    <w:p w14:paraId="0000002E" w14:textId="728FCB4B" w:rsidR="009F2746" w:rsidRPr="00EB52FB" w:rsidRDefault="00156262" w:rsidP="00EB52FB">
      <w:pPr>
        <w:pBdr>
          <w:top w:val="nil"/>
          <w:left w:val="nil"/>
          <w:bottom w:val="nil"/>
          <w:right w:val="nil"/>
          <w:between w:val="nil"/>
        </w:pBdr>
        <w:spacing w:line="360" w:lineRule="auto"/>
        <w:ind w:left="0" w:hanging="2"/>
        <w:jc w:val="both"/>
        <w:rPr>
          <w:color w:val="000000"/>
          <w:highlight w:val="yellow"/>
        </w:rPr>
      </w:pPr>
      <w:r w:rsidRPr="005021EC">
        <w:rPr>
          <w:color w:val="000000"/>
          <w:highlight w:val="yellow"/>
        </w:rPr>
        <w:t xml:space="preserve">Numerosi studi scientifici hanno valutato e confrontato la qualità e la durata della protezione alla reinfezione da Sars-CoV-2 tra le persone vaccinate e i non vaccinati che hanno sviluppato </w:t>
      </w:r>
      <w:r w:rsidRPr="005021EC">
        <w:rPr>
          <w:highlight w:val="yellow"/>
        </w:rPr>
        <w:t>un'immunità</w:t>
      </w:r>
      <w:r w:rsidRPr="005021EC">
        <w:rPr>
          <w:color w:val="000000"/>
          <w:highlight w:val="yellow"/>
        </w:rPr>
        <w:t xml:space="preserve"> naturale: lo studio dell'Università di Oxford pubblicato sul The New </w:t>
      </w:r>
      <w:proofErr w:type="spellStart"/>
      <w:r w:rsidRPr="005021EC">
        <w:rPr>
          <w:color w:val="000000"/>
          <w:highlight w:val="yellow"/>
        </w:rPr>
        <w:t>England</w:t>
      </w:r>
      <w:proofErr w:type="spellEnd"/>
      <w:r w:rsidRPr="005021EC">
        <w:rPr>
          <w:color w:val="000000"/>
          <w:highlight w:val="yellow"/>
        </w:rPr>
        <w:t xml:space="preserve"> Journal of Medicine e lo studio delle Università di Washington a St. Louis pubblicato su Nature danno prova del buon livello di immunità post- infezione: le re-infezioni sono rare nei pazienti che hanno sviluppato una lieve infezione da Sars-CoV-2 in quanto viene indotta una memoria immunitaria umorale robusta, specifica per l'antigene e di lunga durata grazie alla produzione di plasmacellule del midollo osseo a vita lunga (BMPC): (NEJM.org </w:t>
      </w:r>
      <w:proofErr w:type="spellStart"/>
      <w:r w:rsidRPr="005021EC">
        <w:rPr>
          <w:color w:val="000000"/>
          <w:highlight w:val="yellow"/>
        </w:rPr>
        <w:t>December</w:t>
      </w:r>
      <w:proofErr w:type="spellEnd"/>
      <w:r w:rsidRPr="005021EC">
        <w:rPr>
          <w:color w:val="000000"/>
          <w:highlight w:val="yellow"/>
        </w:rPr>
        <w:t xml:space="preserve"> 23, 2020: </w:t>
      </w:r>
      <w:proofErr w:type="spellStart"/>
      <w:r w:rsidRPr="005021EC">
        <w:rPr>
          <w:color w:val="000000"/>
          <w:highlight w:val="yellow"/>
        </w:rPr>
        <w:t>Antibody</w:t>
      </w:r>
      <w:proofErr w:type="spellEnd"/>
      <w:r w:rsidRPr="005021EC">
        <w:rPr>
          <w:color w:val="000000"/>
          <w:highlight w:val="yellow"/>
        </w:rPr>
        <w:t xml:space="preserve"> Status and </w:t>
      </w:r>
      <w:proofErr w:type="spellStart"/>
      <w:r w:rsidRPr="005021EC">
        <w:rPr>
          <w:color w:val="000000"/>
          <w:highlight w:val="yellow"/>
        </w:rPr>
        <w:t>Incidence</w:t>
      </w:r>
      <w:proofErr w:type="spellEnd"/>
      <w:r w:rsidRPr="005021EC">
        <w:rPr>
          <w:color w:val="000000"/>
          <w:highlight w:val="yellow"/>
        </w:rPr>
        <w:t xml:space="preserve"> of SARS-CoV-2 </w:t>
      </w:r>
      <w:proofErr w:type="spellStart"/>
      <w:r w:rsidRPr="005021EC">
        <w:rPr>
          <w:color w:val="000000"/>
          <w:highlight w:val="yellow"/>
        </w:rPr>
        <w:t>Infection</w:t>
      </w:r>
      <w:proofErr w:type="spellEnd"/>
      <w:r w:rsidRPr="005021EC">
        <w:rPr>
          <w:color w:val="000000"/>
          <w:highlight w:val="yellow"/>
        </w:rPr>
        <w:t xml:space="preserve"> in Health Care Workers DOI: 10.1056/NEJMoa2034545); (Nature / </w:t>
      </w:r>
      <w:proofErr w:type="spellStart"/>
      <w:r w:rsidRPr="005021EC">
        <w:rPr>
          <w:color w:val="000000"/>
          <w:highlight w:val="yellow"/>
        </w:rPr>
        <w:t>Vol</w:t>
      </w:r>
      <w:proofErr w:type="spellEnd"/>
      <w:r w:rsidRPr="005021EC">
        <w:rPr>
          <w:color w:val="000000"/>
          <w:highlight w:val="yellow"/>
        </w:rPr>
        <w:t xml:space="preserve"> 595 / 15 </w:t>
      </w:r>
      <w:proofErr w:type="spellStart"/>
      <w:r w:rsidRPr="005021EC">
        <w:rPr>
          <w:color w:val="000000"/>
          <w:highlight w:val="yellow"/>
        </w:rPr>
        <w:t>July</w:t>
      </w:r>
      <w:proofErr w:type="spellEnd"/>
      <w:r w:rsidRPr="005021EC">
        <w:rPr>
          <w:color w:val="000000"/>
          <w:highlight w:val="yellow"/>
        </w:rPr>
        <w:t xml:space="preserve"> 2021 / </w:t>
      </w:r>
      <w:proofErr w:type="spellStart"/>
      <w:r w:rsidRPr="005021EC">
        <w:rPr>
          <w:color w:val="000000"/>
          <w:highlight w:val="yellow"/>
        </w:rPr>
        <w:t>pag</w:t>
      </w:r>
      <w:proofErr w:type="spellEnd"/>
      <w:r w:rsidRPr="005021EC">
        <w:rPr>
          <w:color w:val="000000"/>
          <w:highlight w:val="yellow"/>
        </w:rPr>
        <w:t xml:space="preserve"> 421: SARS-CoV-2 </w:t>
      </w:r>
      <w:proofErr w:type="spellStart"/>
      <w:r w:rsidRPr="005021EC">
        <w:rPr>
          <w:color w:val="000000"/>
          <w:highlight w:val="yellow"/>
        </w:rPr>
        <w:t>infection</w:t>
      </w:r>
      <w:proofErr w:type="spellEnd"/>
      <w:r w:rsidRPr="005021EC">
        <w:rPr>
          <w:color w:val="000000"/>
          <w:highlight w:val="yellow"/>
        </w:rPr>
        <w:t xml:space="preserve"> </w:t>
      </w:r>
      <w:proofErr w:type="spellStart"/>
      <w:r w:rsidRPr="005021EC">
        <w:rPr>
          <w:color w:val="000000"/>
          <w:highlight w:val="yellow"/>
        </w:rPr>
        <w:t>induces</w:t>
      </w:r>
      <w:proofErr w:type="spellEnd"/>
      <w:r w:rsidRPr="005021EC">
        <w:rPr>
          <w:color w:val="000000"/>
          <w:highlight w:val="yellow"/>
        </w:rPr>
        <w:t xml:space="preserve"> long-</w:t>
      </w:r>
      <w:proofErr w:type="spellStart"/>
      <w:r w:rsidRPr="005021EC">
        <w:rPr>
          <w:color w:val="000000"/>
          <w:highlight w:val="yellow"/>
        </w:rPr>
        <w:t>lived</w:t>
      </w:r>
      <w:proofErr w:type="spellEnd"/>
      <w:r w:rsidRPr="005021EC">
        <w:rPr>
          <w:color w:val="000000"/>
          <w:highlight w:val="yellow"/>
        </w:rPr>
        <w:t xml:space="preserve"> bone </w:t>
      </w:r>
      <w:proofErr w:type="spellStart"/>
      <w:r w:rsidRPr="005021EC">
        <w:rPr>
          <w:color w:val="000000"/>
          <w:highlight w:val="yellow"/>
        </w:rPr>
        <w:t>marrow</w:t>
      </w:r>
      <w:proofErr w:type="spellEnd"/>
      <w:r w:rsidRPr="005021EC">
        <w:rPr>
          <w:color w:val="000000"/>
          <w:highlight w:val="yellow"/>
        </w:rPr>
        <w:t xml:space="preserve"> plasma </w:t>
      </w:r>
      <w:proofErr w:type="spellStart"/>
      <w:r w:rsidRPr="005021EC">
        <w:rPr>
          <w:color w:val="000000"/>
          <w:highlight w:val="yellow"/>
        </w:rPr>
        <w:t>cells</w:t>
      </w:r>
      <w:proofErr w:type="spellEnd"/>
      <w:r w:rsidRPr="005021EC">
        <w:rPr>
          <w:color w:val="000000"/>
          <w:highlight w:val="yellow"/>
        </w:rPr>
        <w:t xml:space="preserve"> in </w:t>
      </w:r>
      <w:proofErr w:type="spellStart"/>
      <w:r w:rsidRPr="005021EC">
        <w:rPr>
          <w:color w:val="000000"/>
          <w:highlight w:val="yellow"/>
        </w:rPr>
        <w:t>humans</w:t>
      </w:r>
      <w:proofErr w:type="spellEnd"/>
      <w:r w:rsidRPr="005021EC">
        <w:rPr>
          <w:color w:val="000000"/>
          <w:highlight w:val="yellow"/>
        </w:rPr>
        <w:t xml:space="preserve"> https://doi.org/10.1038/s41586-021-03647-4); risultano davvero notevoli gli studi longitudinali pubblicati in Maggio 2021 dal Dott. Nicola </w:t>
      </w:r>
      <w:proofErr w:type="spellStart"/>
      <w:r w:rsidRPr="005021EC">
        <w:rPr>
          <w:color w:val="000000"/>
          <w:highlight w:val="yellow"/>
        </w:rPr>
        <w:t>Mumoli</w:t>
      </w:r>
      <w:proofErr w:type="spellEnd"/>
      <w:r w:rsidRPr="005021EC">
        <w:rPr>
          <w:color w:val="000000"/>
          <w:highlight w:val="yellow"/>
        </w:rPr>
        <w:t xml:space="preserve"> del Dipartimento di Medicina Interna dell'Ospedale </w:t>
      </w:r>
      <w:proofErr w:type="spellStart"/>
      <w:r w:rsidRPr="005021EC">
        <w:rPr>
          <w:color w:val="000000"/>
          <w:highlight w:val="yellow"/>
        </w:rPr>
        <w:t>Fumaroli</w:t>
      </w:r>
      <w:proofErr w:type="spellEnd"/>
      <w:r w:rsidRPr="005021EC">
        <w:rPr>
          <w:color w:val="000000"/>
          <w:highlight w:val="yellow"/>
        </w:rPr>
        <w:t xml:space="preserve"> (MI) su </w:t>
      </w:r>
      <w:proofErr w:type="spellStart"/>
      <w:r w:rsidRPr="005021EC">
        <w:rPr>
          <w:color w:val="000000"/>
          <w:highlight w:val="yellow"/>
        </w:rPr>
        <w:t>Jama</w:t>
      </w:r>
      <w:proofErr w:type="spellEnd"/>
      <w:r w:rsidRPr="005021EC">
        <w:rPr>
          <w:color w:val="000000"/>
          <w:highlight w:val="yellow"/>
        </w:rPr>
        <w:t xml:space="preserve"> </w:t>
      </w:r>
      <w:proofErr w:type="spellStart"/>
      <w:r w:rsidRPr="005021EC">
        <w:rPr>
          <w:color w:val="000000"/>
          <w:highlight w:val="yellow"/>
        </w:rPr>
        <w:t>Internal</w:t>
      </w:r>
      <w:proofErr w:type="spellEnd"/>
      <w:r w:rsidRPr="005021EC">
        <w:rPr>
          <w:color w:val="000000"/>
          <w:highlight w:val="yellow"/>
        </w:rPr>
        <w:t xml:space="preserve"> Medicine, rivista scientifica peer-</w:t>
      </w:r>
      <w:proofErr w:type="spellStart"/>
      <w:r w:rsidRPr="005021EC">
        <w:rPr>
          <w:color w:val="000000"/>
          <w:highlight w:val="yellow"/>
        </w:rPr>
        <w:t>reviewed</w:t>
      </w:r>
      <w:proofErr w:type="spellEnd"/>
      <w:r w:rsidRPr="005021EC">
        <w:rPr>
          <w:color w:val="000000"/>
          <w:highlight w:val="yellow"/>
        </w:rPr>
        <w:t xml:space="preserve"> e dell’Università di Washington Seattle (USA) pubblicati su Cell, rivista di Biologia a revisione paritaria: l'immunità naturale conferisce un effetto protettivo per almeno un anno, superiore alla protezione riportata da recenti studi sui vaccini. Inoltre nei pazienti guariti da infezione naturale le cellule B di memoria IgG specifiche sono aumentate nel tempo e i linfociti T specifici per Sars-CoV-2 hanno dimostrato una potente azione antivirale: (</w:t>
      </w:r>
      <w:proofErr w:type="spellStart"/>
      <w:r w:rsidR="00EB52FB">
        <w:rPr>
          <w:color w:val="000000"/>
          <w:highlight w:val="yellow"/>
        </w:rPr>
        <w:t>all</w:t>
      </w:r>
      <w:proofErr w:type="spellEnd"/>
      <w:r w:rsidR="00EB52FB">
        <w:rPr>
          <w:color w:val="000000"/>
          <w:highlight w:val="yellow"/>
        </w:rPr>
        <w:t>. 8</w:t>
      </w:r>
      <w:r w:rsidRPr="005021EC">
        <w:rPr>
          <w:color w:val="000000"/>
          <w:highlight w:val="yellow"/>
        </w:rPr>
        <w:t xml:space="preserve">); </w:t>
      </w:r>
      <w:r w:rsidRPr="00EB52FB">
        <w:rPr>
          <w:color w:val="000000"/>
          <w:highlight w:val="yellow"/>
        </w:rPr>
        <w:t>(</w:t>
      </w:r>
      <w:r w:rsidR="00EB52FB" w:rsidRPr="00EB52FB">
        <w:rPr>
          <w:color w:val="000000"/>
          <w:highlight w:val="yellow"/>
        </w:rPr>
        <w:t>https://pubmed.ncbi.nlm.nih.gov/33296701/</w:t>
      </w:r>
      <w:r w:rsidRPr="00EB52FB">
        <w:rPr>
          <w:color w:val="000000"/>
          <w:highlight w:val="yellow"/>
        </w:rPr>
        <w:t>)</w:t>
      </w:r>
      <w:r w:rsidR="00EB52FB" w:rsidRPr="00EB52FB">
        <w:rPr>
          <w:b/>
          <w:color w:val="000000"/>
          <w:highlight w:val="yellow"/>
        </w:rPr>
        <w:t>.</w:t>
      </w:r>
    </w:p>
    <w:p w14:paraId="0000002F" w14:textId="77777777" w:rsidR="009F2746" w:rsidRDefault="00156262">
      <w:pPr>
        <w:pBdr>
          <w:top w:val="nil"/>
          <w:left w:val="nil"/>
          <w:bottom w:val="nil"/>
          <w:right w:val="nil"/>
          <w:between w:val="nil"/>
        </w:pBdr>
        <w:spacing w:line="360" w:lineRule="auto"/>
        <w:ind w:left="0" w:hanging="2"/>
        <w:jc w:val="both"/>
        <w:rPr>
          <w:color w:val="000000"/>
        </w:rPr>
      </w:pPr>
      <w:r w:rsidRPr="005021EC">
        <w:rPr>
          <w:color w:val="000000"/>
          <w:highlight w:val="yellow"/>
        </w:rPr>
        <w:t xml:space="preserve">Perfino la c.d. Legge Lorenzin, oggetto del vaglio di legittimità costituzionale di cui alla Sent. 5/18 della Consulta, </w:t>
      </w:r>
      <w:r w:rsidRPr="005021EC">
        <w:rPr>
          <w:b/>
          <w:color w:val="000000"/>
          <w:highlight w:val="yellow"/>
          <w:u w:val="single"/>
        </w:rPr>
        <w:t>prevede espressamente la necessità vengano esentati dalla vaccinazione i soggetti che risultano già guariti</w:t>
      </w:r>
      <w:r w:rsidRPr="005021EC">
        <w:rPr>
          <w:color w:val="000000"/>
          <w:highlight w:val="yellow"/>
        </w:rPr>
        <w:t xml:space="preserve">, </w:t>
      </w:r>
      <w:r w:rsidRPr="005021EC">
        <w:rPr>
          <w:b/>
          <w:color w:val="000000"/>
          <w:highlight w:val="yellow"/>
          <w:u w:val="single"/>
        </w:rPr>
        <w:t>in quanto già immunizzati naturalmente</w:t>
      </w:r>
      <w:r w:rsidRPr="005021EC">
        <w:rPr>
          <w:color w:val="000000"/>
          <w:highlight w:val="yellow"/>
        </w:rPr>
        <w:t xml:space="preserve"> (art. 1 co. 2 </w:t>
      </w:r>
      <w:r w:rsidRPr="005021EC">
        <w:rPr>
          <w:highlight w:val="yellow"/>
        </w:rPr>
        <w:t>decreto-legge n.</w:t>
      </w:r>
      <w:r w:rsidRPr="005021EC">
        <w:rPr>
          <w:color w:val="000000"/>
          <w:highlight w:val="yellow"/>
        </w:rPr>
        <w:t xml:space="preserve"> 73</w:t>
      </w:r>
      <w:r w:rsidRPr="005021EC">
        <w:rPr>
          <w:highlight w:val="yellow"/>
        </w:rPr>
        <w:t>/20</w:t>
      </w:r>
      <w:r w:rsidRPr="005021EC">
        <w:rPr>
          <w:color w:val="000000"/>
          <w:highlight w:val="yellow"/>
        </w:rPr>
        <w:t>17 conv</w:t>
      </w:r>
      <w:r w:rsidRPr="005021EC">
        <w:rPr>
          <w:highlight w:val="yellow"/>
        </w:rPr>
        <w:t>ertito in legge</w:t>
      </w:r>
      <w:r w:rsidRPr="005021EC">
        <w:rPr>
          <w:color w:val="000000"/>
          <w:highlight w:val="yellow"/>
        </w:rPr>
        <w:t xml:space="preserve"> 119</w:t>
      </w:r>
      <w:r w:rsidRPr="005021EC">
        <w:rPr>
          <w:highlight w:val="yellow"/>
        </w:rPr>
        <w:t>/20</w:t>
      </w:r>
      <w:r w:rsidRPr="005021EC">
        <w:rPr>
          <w:color w:val="000000"/>
          <w:highlight w:val="yellow"/>
        </w:rPr>
        <w:t xml:space="preserve">17), secondo le </w:t>
      </w:r>
      <w:r w:rsidRPr="005021EC">
        <w:rPr>
          <w:highlight w:val="yellow"/>
        </w:rPr>
        <w:t xml:space="preserve">più basiche conoscenze </w:t>
      </w:r>
      <w:r w:rsidRPr="005021EC">
        <w:rPr>
          <w:color w:val="000000"/>
          <w:highlight w:val="yellow"/>
        </w:rPr>
        <w:t xml:space="preserve">dell’immunologia. Risulta inoltre importante sottolineare che tale citata legislazione ritiene ampiamente sufficiente ai fini di esenzione vaccinale anche il </w:t>
      </w:r>
      <w:r w:rsidRPr="005021EC">
        <w:rPr>
          <w:color w:val="000000"/>
          <w:highlight w:val="yellow"/>
          <w:u w:val="single"/>
        </w:rPr>
        <w:t>certificato sierologico</w:t>
      </w:r>
      <w:r w:rsidRPr="005021EC">
        <w:rPr>
          <w:color w:val="000000"/>
          <w:highlight w:val="yellow"/>
        </w:rPr>
        <w:t xml:space="preserve"> in esito ad analisi dei prelievi ematici.</w:t>
      </w:r>
    </w:p>
    <w:p w14:paraId="00000030" w14:textId="6C76F75F" w:rsidR="009F2746" w:rsidRDefault="00156262">
      <w:pPr>
        <w:pBdr>
          <w:top w:val="nil"/>
          <w:left w:val="nil"/>
          <w:bottom w:val="nil"/>
          <w:right w:val="nil"/>
          <w:between w:val="nil"/>
        </w:pBdr>
        <w:spacing w:line="360" w:lineRule="auto"/>
        <w:ind w:left="0" w:hanging="2"/>
        <w:jc w:val="both"/>
        <w:rPr>
          <w:color w:val="000000"/>
          <w:highlight w:val="yellow"/>
        </w:rPr>
      </w:pPr>
      <w:r w:rsidRPr="005021EC">
        <w:rPr>
          <w:color w:val="000000"/>
          <w:highlight w:val="yellow"/>
        </w:rPr>
        <w:t>È evidente, pertanto, che la norma di cui all’art. 4</w:t>
      </w:r>
      <w:r w:rsidRPr="005021EC">
        <w:rPr>
          <w:highlight w:val="yellow"/>
        </w:rPr>
        <w:t>-</w:t>
      </w:r>
      <w:r w:rsidRPr="005021EC">
        <w:rPr>
          <w:color w:val="000000"/>
          <w:highlight w:val="yellow"/>
        </w:rPr>
        <w:t>sexies vada disapplicata nei confronti dell’istante il quale è guarito dalla Sars</w:t>
      </w:r>
      <w:r w:rsidRPr="005021EC">
        <w:rPr>
          <w:highlight w:val="yellow"/>
        </w:rPr>
        <w:t>-</w:t>
      </w:r>
      <w:r w:rsidRPr="005021EC">
        <w:rPr>
          <w:color w:val="000000"/>
          <w:highlight w:val="yellow"/>
        </w:rPr>
        <w:t>cov</w:t>
      </w:r>
      <w:r w:rsidRPr="005021EC">
        <w:rPr>
          <w:highlight w:val="yellow"/>
        </w:rPr>
        <w:t>-</w:t>
      </w:r>
      <w:r w:rsidRPr="005021EC">
        <w:rPr>
          <w:color w:val="000000"/>
          <w:highlight w:val="yellow"/>
        </w:rPr>
        <w:t>2.</w:t>
      </w:r>
    </w:p>
    <w:p w14:paraId="7535C6E7" w14:textId="6B873967" w:rsidR="00D271FD" w:rsidRDefault="00D271FD" w:rsidP="00D271FD">
      <w:pPr>
        <w:pBdr>
          <w:top w:val="nil"/>
          <w:left w:val="nil"/>
          <w:bottom w:val="nil"/>
          <w:right w:val="nil"/>
          <w:between w:val="nil"/>
        </w:pBdr>
        <w:spacing w:line="360" w:lineRule="auto"/>
        <w:ind w:left="0" w:hanging="2"/>
        <w:jc w:val="center"/>
        <w:rPr>
          <w:color w:val="000000"/>
        </w:rPr>
      </w:pPr>
      <w:r w:rsidRPr="00D271FD">
        <w:rPr>
          <w:color w:val="000000"/>
        </w:rPr>
        <w:t>*</w:t>
      </w:r>
    </w:p>
    <w:p w14:paraId="1A966A93" w14:textId="0C13BC0F" w:rsidR="00D271FD" w:rsidRPr="00D271FD" w:rsidRDefault="00D271FD" w:rsidP="00D271FD">
      <w:pPr>
        <w:pStyle w:val="Paragrafoelenco"/>
        <w:widowControl w:val="0"/>
        <w:numPr>
          <w:ilvl w:val="0"/>
          <w:numId w:val="5"/>
        </w:numPr>
        <w:pBdr>
          <w:top w:val="nil"/>
          <w:left w:val="nil"/>
          <w:bottom w:val="nil"/>
          <w:right w:val="nil"/>
          <w:between w:val="nil"/>
        </w:pBdr>
        <w:suppressAutoHyphens w:val="0"/>
        <w:spacing w:line="360" w:lineRule="auto"/>
        <w:ind w:leftChars="0" w:firstLineChars="0"/>
        <w:jc w:val="both"/>
        <w:textDirection w:val="lrTb"/>
        <w:textAlignment w:val="auto"/>
        <w:outlineLvl w:val="9"/>
        <w:rPr>
          <w:b/>
          <w:color w:val="333333"/>
          <w:sz w:val="22"/>
          <w:szCs w:val="22"/>
        </w:rPr>
      </w:pPr>
      <w:r>
        <w:rPr>
          <w:b/>
          <w:color w:val="333333"/>
          <w:sz w:val="22"/>
          <w:szCs w:val="22"/>
        </w:rPr>
        <w:t>Violazione del diritto alla riservatezza dei dati personali (privacy).</w:t>
      </w:r>
    </w:p>
    <w:p w14:paraId="178340B4" w14:textId="1C3C4D20" w:rsidR="00D271FD" w:rsidRDefault="00D271FD" w:rsidP="00D271FD">
      <w:pPr>
        <w:spacing w:line="360" w:lineRule="auto"/>
        <w:ind w:left="0" w:hanging="2"/>
        <w:jc w:val="both"/>
        <w:rPr>
          <w:color w:val="000000"/>
        </w:rPr>
      </w:pPr>
      <w:r>
        <w:rPr>
          <w:color w:val="000000"/>
        </w:rPr>
        <w:t>Il ricorrente si duole</w:t>
      </w:r>
      <w:r w:rsidR="001758E2">
        <w:rPr>
          <w:color w:val="000000"/>
        </w:rPr>
        <w:t xml:space="preserve"> della grave violazione nella gestione, trattamento e acquisizione da parte dell’Agenzia resistente di dati sensibilissimi (stato vaccinale, condizioni di salute, </w:t>
      </w:r>
      <w:r>
        <w:rPr>
          <w:color w:val="000000"/>
        </w:rPr>
        <w:t xml:space="preserve">differimento </w:t>
      </w:r>
      <w:r>
        <w:rPr>
          <w:color w:val="000000"/>
        </w:rPr>
        <w:lastRenderedPageBreak/>
        <w:t>o esenzione dell’obbligo vaccinale</w:t>
      </w:r>
      <w:r w:rsidR="001758E2">
        <w:rPr>
          <w:color w:val="000000"/>
        </w:rPr>
        <w:t xml:space="preserve">, </w:t>
      </w:r>
      <w:proofErr w:type="spellStart"/>
      <w:r w:rsidR="001758E2">
        <w:rPr>
          <w:color w:val="000000"/>
        </w:rPr>
        <w:t>etc</w:t>
      </w:r>
      <w:proofErr w:type="spellEnd"/>
      <w:r w:rsidR="001758E2">
        <w:rPr>
          <w:color w:val="000000"/>
        </w:rPr>
        <w:t>)</w:t>
      </w:r>
      <w:r>
        <w:rPr>
          <w:color w:val="000000"/>
        </w:rPr>
        <w:t xml:space="preserve"> de</w:t>
      </w:r>
      <w:r w:rsidR="001758E2">
        <w:rPr>
          <w:color w:val="000000"/>
        </w:rPr>
        <w:t>i</w:t>
      </w:r>
      <w:r>
        <w:rPr>
          <w:color w:val="000000"/>
        </w:rPr>
        <w:t xml:space="preserve"> soggetti sanzionati</w:t>
      </w:r>
      <w:r w:rsidR="001758E2">
        <w:rPr>
          <w:color w:val="000000"/>
        </w:rPr>
        <w:t xml:space="preserve"> in generale, e del sottoscritto ricorrente in particolare</w:t>
      </w:r>
      <w:r>
        <w:rPr>
          <w:color w:val="000000"/>
        </w:rPr>
        <w:t>.</w:t>
      </w:r>
    </w:p>
    <w:p w14:paraId="78B78EF4" w14:textId="58EA7AB3" w:rsidR="00D271FD" w:rsidRDefault="001758E2" w:rsidP="00D271FD">
      <w:pPr>
        <w:spacing w:line="360" w:lineRule="auto"/>
        <w:ind w:left="0" w:hanging="2"/>
        <w:jc w:val="both"/>
        <w:rPr>
          <w:color w:val="000000"/>
        </w:rPr>
      </w:pPr>
      <w:r>
        <w:rPr>
          <w:color w:val="000000"/>
        </w:rPr>
        <w:t xml:space="preserve">Valga come presupposto </w:t>
      </w:r>
      <w:r w:rsidR="00D271FD">
        <w:rPr>
          <w:color w:val="000000"/>
        </w:rPr>
        <w:t>la natura e la valenza del consenso informato al trattamento sanitario</w:t>
      </w:r>
      <w:r>
        <w:rPr>
          <w:color w:val="000000"/>
        </w:rPr>
        <w:t>,</w:t>
      </w:r>
      <w:r w:rsidR="00D271FD">
        <w:rPr>
          <w:color w:val="000000"/>
        </w:rPr>
        <w:t xml:space="preserve"> definito “diritto fondamentale dell’Individuo</w:t>
      </w:r>
      <w:r>
        <w:rPr>
          <w:color w:val="000000"/>
        </w:rPr>
        <w:t>” dalla</w:t>
      </w:r>
      <w:r w:rsidR="00D271FD">
        <w:rPr>
          <w:color w:val="000000"/>
        </w:rPr>
        <w:t xml:space="preserve"> la Sentenza Corte Costituzionale nr. 438/2008</w:t>
      </w:r>
      <w:r>
        <w:rPr>
          <w:color w:val="000000"/>
        </w:rPr>
        <w:t xml:space="preserve">, in difetto del quale </w:t>
      </w:r>
      <w:r w:rsidR="00D271FD">
        <w:rPr>
          <w:color w:val="000000"/>
        </w:rPr>
        <w:t xml:space="preserve">l’inosservanza e </w:t>
      </w:r>
      <w:r>
        <w:rPr>
          <w:color w:val="000000"/>
        </w:rPr>
        <w:t xml:space="preserve">la </w:t>
      </w:r>
      <w:r w:rsidR="00D271FD">
        <w:rPr>
          <w:color w:val="000000"/>
        </w:rPr>
        <w:t>violazione del principio di minimizzazione dei dati, ai sensi dell’art. 5 GDPR</w:t>
      </w:r>
      <w:r>
        <w:rPr>
          <w:color w:val="000000"/>
        </w:rPr>
        <w:t xml:space="preserve"> ha compromesso la corretta gestione del procedimento amministrativo (e sanzionatorio), in quanto acquisitivo di </w:t>
      </w:r>
      <w:r w:rsidR="00D271FD">
        <w:rPr>
          <w:color w:val="000000"/>
        </w:rPr>
        <w:t xml:space="preserve">dati </w:t>
      </w:r>
      <w:r>
        <w:rPr>
          <w:color w:val="000000"/>
        </w:rPr>
        <w:t>in</w:t>
      </w:r>
      <w:r w:rsidR="00D271FD">
        <w:rPr>
          <w:color w:val="000000"/>
        </w:rPr>
        <w:t>adeguati,</w:t>
      </w:r>
      <w:r>
        <w:rPr>
          <w:color w:val="000000"/>
        </w:rPr>
        <w:t xml:space="preserve"> non</w:t>
      </w:r>
      <w:r w:rsidR="00D271FD">
        <w:rPr>
          <w:color w:val="000000"/>
        </w:rPr>
        <w:t xml:space="preserve"> pertinenti </w:t>
      </w:r>
      <w:r>
        <w:rPr>
          <w:color w:val="000000"/>
        </w:rPr>
        <w:t xml:space="preserve">o </w:t>
      </w:r>
      <w:r w:rsidR="00D271FD">
        <w:rPr>
          <w:color w:val="000000"/>
        </w:rPr>
        <w:t>necessari rispetto alle finalità per le quali vanno trattati.</w:t>
      </w:r>
    </w:p>
    <w:p w14:paraId="16A27149" w14:textId="77777777" w:rsidR="00D271FD" w:rsidRDefault="00D271FD" w:rsidP="00D271FD">
      <w:pPr>
        <w:pBdr>
          <w:top w:val="nil"/>
          <w:left w:val="nil"/>
          <w:bottom w:val="nil"/>
          <w:right w:val="nil"/>
          <w:between w:val="nil"/>
        </w:pBd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hanging="2"/>
        <w:jc w:val="both"/>
        <w:rPr>
          <w:color w:val="000000"/>
        </w:rPr>
      </w:pPr>
      <w:r>
        <w:rPr>
          <w:color w:val="000000"/>
        </w:rPr>
        <w:t xml:space="preserve">Inoltre non pare possa prescindersi da un’ulteriore considerazione laddove si consideri che ogni ente pubblico è tenuto ad operare nell’ambito delle funzioni attribuite dalla legge al fine </w:t>
      </w:r>
      <w:r>
        <w:rPr>
          <w:i/>
          <w:color w:val="000000"/>
        </w:rPr>
        <w:t xml:space="preserve">di “…….svolgere i trattamenti necessari per l’esecuzione di un compito di interesse pubblico o connesso all’esercizio di pubblici poteri di cui l’ente sia investito, in qualità di titolare del trattamento”, </w:t>
      </w:r>
      <w:r>
        <w:rPr>
          <w:color w:val="000000"/>
        </w:rPr>
        <w:t>dovere</w:t>
      </w:r>
      <w:r>
        <w:rPr>
          <w:i/>
          <w:color w:val="000000"/>
        </w:rPr>
        <w:t xml:space="preserve"> </w:t>
      </w:r>
      <w:r>
        <w:rPr>
          <w:color w:val="000000"/>
        </w:rPr>
        <w:t>ancora più gravoso laddove venga legittimato il trattamento unicamente se necessario per motivi di interesse pubblico rilevante.</w:t>
      </w:r>
    </w:p>
    <w:p w14:paraId="70E0C167" w14:textId="77777777" w:rsidR="00D271FD" w:rsidRDefault="00D271FD" w:rsidP="00D271FD">
      <w:pPr>
        <w:pBdr>
          <w:top w:val="nil"/>
          <w:left w:val="nil"/>
          <w:bottom w:val="nil"/>
          <w:right w:val="nil"/>
          <w:between w:val="nil"/>
        </w:pBd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hanging="2"/>
        <w:jc w:val="both"/>
        <w:rPr>
          <w:color w:val="000000"/>
        </w:rPr>
      </w:pPr>
      <w:r>
        <w:rPr>
          <w:color w:val="000000"/>
        </w:rPr>
        <w:t>Considerato inoltre come l’art. 2 ter del Codice Privacy a norma del quale la diffusione e la comunicazione di dati personali, trattati per l'esecuzione di un compito di interesse pubblico o connesso all'esercizio di pubblici poteri, a soggetti che intendono trattarli per altre finalità, ammetta tale trattamento unicamente se previste ai sensi del comma 1 o se necessarie ai sensi del comma 1-bis.</w:t>
      </w:r>
    </w:p>
    <w:p w14:paraId="79687BFC" w14:textId="77777777" w:rsidR="00D271FD" w:rsidRDefault="00D271FD" w:rsidP="00D271FD">
      <w:pPr>
        <w:pBdr>
          <w:top w:val="nil"/>
          <w:left w:val="nil"/>
          <w:bottom w:val="nil"/>
          <w:right w:val="nil"/>
          <w:between w:val="nil"/>
        </w:pBd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hanging="2"/>
        <w:jc w:val="both"/>
        <w:rPr>
          <w:color w:val="000000"/>
        </w:rPr>
      </w:pPr>
      <w:r>
        <w:rPr>
          <w:color w:val="000000"/>
        </w:rPr>
        <w:t>E così ancora l’art. 9 del Regolamento UE 2016/679 (GDPR) che prevede il divieto al trattamento di particolari categorie di dati personali tra cui quelli relativi alla salute.</w:t>
      </w:r>
    </w:p>
    <w:p w14:paraId="38695E38" w14:textId="77777777" w:rsidR="00D271FD" w:rsidRDefault="00D271FD" w:rsidP="00D271FD">
      <w:pPr>
        <w:pBdr>
          <w:top w:val="nil"/>
          <w:left w:val="nil"/>
          <w:bottom w:val="nil"/>
          <w:right w:val="nil"/>
          <w:between w:val="nil"/>
        </w:pBd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hanging="2"/>
        <w:jc w:val="both"/>
        <w:rPr>
          <w:color w:val="000000"/>
        </w:rPr>
      </w:pPr>
      <w:r>
        <w:rPr>
          <w:color w:val="000000"/>
        </w:rPr>
        <w:t>Ed infine il richiamo all’art. 22 GDPR a norma del quale l’interessato ha il diritto di non essere sottoposto a una decisione basata unicamente sul trattamento automatizzato, compresa la profilazione, che produca effetti giuridici che lo riguardano o che incida in modo analogo significativamente sulla propria persona.</w:t>
      </w:r>
    </w:p>
    <w:p w14:paraId="3D5064EF" w14:textId="77777777" w:rsidR="00D271FD" w:rsidRDefault="00D271FD" w:rsidP="00D271FD">
      <w:pPr>
        <w:pBdr>
          <w:top w:val="nil"/>
          <w:left w:val="nil"/>
          <w:bottom w:val="nil"/>
          <w:right w:val="nil"/>
          <w:between w:val="nil"/>
        </w:pBd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hanging="2"/>
        <w:jc w:val="both"/>
        <w:rPr>
          <w:color w:val="000000"/>
        </w:rPr>
      </w:pPr>
      <w:r>
        <w:rPr>
          <w:color w:val="000000"/>
        </w:rPr>
        <w:t>L'articolo 4 del nuovo </w:t>
      </w:r>
      <w:hyperlink r:id="rId9">
        <w:r>
          <w:rPr>
            <w:color w:val="000000"/>
          </w:rPr>
          <w:t>Regolamento europeo</w:t>
        </w:r>
      </w:hyperlink>
      <w:r>
        <w:rPr>
          <w:color w:val="000000"/>
        </w:rPr>
        <w:t xml:space="preserve"> definisce la profilazione come </w:t>
      </w:r>
      <w:r>
        <w:rPr>
          <w:i/>
          <w:color w:val="000000"/>
        </w:rPr>
        <w:t>"qualsiasi forma di trattamento automatizzato di dati personali consistente nell'utilizzo di tali dati personali per valutare determinati aspetti personali relativi a una persona fisica, in particolare per analizzare o prevedere aspetti riguardanti il rendimento professionale, la situazione economica, la salute, le preferenze personali, gli interessi, l'affidabilità, il comportamento, l'ubicazione o gli spostamenti di detta persona fisica". </w:t>
      </w:r>
      <w:r>
        <w:rPr>
          <w:i/>
          <w:color w:val="000000"/>
        </w:rPr>
        <w:br/>
      </w:r>
      <w:r>
        <w:rPr>
          <w:color w:val="000000"/>
        </w:rPr>
        <w:t xml:space="preserve">Pertanto l’irrogazione dell’avviso di addebito e della sanzione ivi contenuta sono illegittime e, in quanto tali, dovranno essere annullate non solo per la violazione di tutte le norme del GDPR </w:t>
      </w:r>
      <w:r>
        <w:rPr>
          <w:color w:val="000000"/>
        </w:rPr>
        <w:lastRenderedPageBreak/>
        <w:t>sovra citate ma e soprattutto in quanto l’opponente aveva previamente diffidato dal trattamento dei propri dati sensibili.</w:t>
      </w:r>
    </w:p>
    <w:p w14:paraId="3DB21509" w14:textId="77777777" w:rsidR="00D271FD" w:rsidRPr="00D271FD" w:rsidRDefault="00D271FD" w:rsidP="00D271FD">
      <w:pPr>
        <w:pBdr>
          <w:top w:val="nil"/>
          <w:left w:val="nil"/>
          <w:bottom w:val="nil"/>
          <w:right w:val="nil"/>
          <w:between w:val="nil"/>
        </w:pBdr>
        <w:spacing w:line="360" w:lineRule="auto"/>
        <w:ind w:left="0" w:hanging="2"/>
        <w:rPr>
          <w:color w:val="000000"/>
        </w:rPr>
      </w:pPr>
    </w:p>
    <w:p w14:paraId="58C35D10" w14:textId="41E05D21" w:rsidR="005021EC" w:rsidRDefault="005021EC" w:rsidP="005021EC">
      <w:pPr>
        <w:pBdr>
          <w:top w:val="nil"/>
          <w:left w:val="nil"/>
          <w:bottom w:val="nil"/>
          <w:right w:val="nil"/>
          <w:between w:val="nil"/>
        </w:pBdr>
        <w:spacing w:line="360" w:lineRule="auto"/>
        <w:ind w:left="0" w:hanging="2"/>
        <w:jc w:val="center"/>
        <w:rPr>
          <w:color w:val="000000"/>
        </w:rPr>
      </w:pPr>
      <w:r>
        <w:rPr>
          <w:color w:val="000000"/>
        </w:rPr>
        <w:t>*</w:t>
      </w:r>
    </w:p>
    <w:p w14:paraId="00000031" w14:textId="77777777" w:rsidR="009F2746" w:rsidRDefault="00156262">
      <w:pPr>
        <w:pBdr>
          <w:top w:val="nil"/>
          <w:left w:val="nil"/>
          <w:bottom w:val="nil"/>
          <w:right w:val="nil"/>
          <w:between w:val="nil"/>
        </w:pBdr>
        <w:spacing w:line="360" w:lineRule="auto"/>
        <w:ind w:left="0" w:hanging="2"/>
        <w:jc w:val="center"/>
        <w:rPr>
          <w:b/>
        </w:rPr>
      </w:pPr>
      <w:r>
        <w:rPr>
          <w:b/>
        </w:rPr>
        <w:t>QUESTIONE DI COSTITUZIONALITA’</w:t>
      </w:r>
    </w:p>
    <w:p w14:paraId="00000032" w14:textId="4069AA7C" w:rsidR="009F2746" w:rsidRDefault="00156262">
      <w:pPr>
        <w:pBdr>
          <w:top w:val="nil"/>
          <w:left w:val="nil"/>
          <w:bottom w:val="nil"/>
          <w:right w:val="nil"/>
          <w:between w:val="nil"/>
        </w:pBdr>
        <w:spacing w:line="360" w:lineRule="auto"/>
        <w:ind w:left="0" w:hanging="2"/>
        <w:jc w:val="both"/>
        <w:rPr>
          <w:color w:val="000000"/>
        </w:rPr>
      </w:pPr>
      <w:r>
        <w:rPr>
          <w:color w:val="000000"/>
        </w:rPr>
        <w:t xml:space="preserve">Nel caso l’Ill.mo Signor Giudice di Pace non ritenesse di disapplicare </w:t>
      </w:r>
      <w:r>
        <w:t xml:space="preserve">direttamente </w:t>
      </w:r>
      <w:r>
        <w:rPr>
          <w:color w:val="000000"/>
        </w:rPr>
        <w:t>la norma citata, si chiede che venga sollevata questione di legittimità costituzionale dell’art. 4</w:t>
      </w:r>
      <w:r>
        <w:t>-</w:t>
      </w:r>
      <w:r>
        <w:rPr>
          <w:color w:val="000000"/>
        </w:rPr>
        <w:t xml:space="preserve">sexies del </w:t>
      </w:r>
      <w:r>
        <w:t xml:space="preserve">decreto-legge </w:t>
      </w:r>
      <w:r>
        <w:rPr>
          <w:color w:val="000000"/>
        </w:rPr>
        <w:t xml:space="preserve">n. 44/2021, convertito in </w:t>
      </w:r>
      <w:r w:rsidR="00A11FED">
        <w:rPr>
          <w:color w:val="000000"/>
        </w:rPr>
        <w:t xml:space="preserve">legge </w:t>
      </w:r>
      <w:r>
        <w:rPr>
          <w:color w:val="000000"/>
        </w:rPr>
        <w:t xml:space="preserve">n. 76/2021, introdotto dall’art. 1 comma 1 </w:t>
      </w:r>
      <w:r>
        <w:t>decreto-legge</w:t>
      </w:r>
      <w:r>
        <w:rPr>
          <w:color w:val="000000"/>
        </w:rPr>
        <w:t xml:space="preserve"> n. 1/2022 convertito in </w:t>
      </w:r>
      <w:r>
        <w:t>legge</w:t>
      </w:r>
      <w:r>
        <w:rPr>
          <w:color w:val="000000"/>
        </w:rPr>
        <w:t xml:space="preserve"> n.18 del 04/03/2022 e </w:t>
      </w:r>
      <w:proofErr w:type="spellStart"/>
      <w:r>
        <w:rPr>
          <w:color w:val="000000"/>
        </w:rPr>
        <w:t>succ</w:t>
      </w:r>
      <w:proofErr w:type="spellEnd"/>
      <w:r>
        <w:rPr>
          <w:color w:val="000000"/>
        </w:rPr>
        <w:t xml:space="preserve">. modifiche, </w:t>
      </w:r>
      <w:r w:rsidR="00EB4124">
        <w:rPr>
          <w:color w:val="000000"/>
        </w:rPr>
        <w:t>in quanto rilevante e non manifestamente infondata appare la</w:t>
      </w:r>
      <w:r>
        <w:rPr>
          <w:color w:val="000000"/>
        </w:rPr>
        <w:t xml:space="preserve"> violazione dell’art. 3 Cost</w:t>
      </w:r>
      <w:r>
        <w:t>.</w:t>
      </w:r>
      <w:r>
        <w:rPr>
          <w:color w:val="000000"/>
        </w:rPr>
        <w:t xml:space="preserve">, </w:t>
      </w:r>
      <w:r>
        <w:t xml:space="preserve">nella parte in cui </w:t>
      </w:r>
      <w:r>
        <w:rPr>
          <w:color w:val="000000"/>
        </w:rPr>
        <w:t xml:space="preserve">ha previsto indistintamente l’obbligo vaccinale </w:t>
      </w:r>
      <w:r>
        <w:t>per tutti i</w:t>
      </w:r>
      <w:r>
        <w:rPr>
          <w:color w:val="000000"/>
        </w:rPr>
        <w:t xml:space="preserve"> soggetti ultracinquantenni e senza </w:t>
      </w:r>
      <w:r>
        <w:t>esenzione di quelli risultati guariti</w:t>
      </w:r>
      <w:r>
        <w:rPr>
          <w:color w:val="000000"/>
        </w:rPr>
        <w:t xml:space="preserve">, in relazione alla </w:t>
      </w:r>
      <w:r>
        <w:t xml:space="preserve">disciplina obbligatoria vaccinale dettata </w:t>
      </w:r>
      <w:r>
        <w:rPr>
          <w:color w:val="000000"/>
        </w:rPr>
        <w:t>dall</w:t>
      </w:r>
      <w:r>
        <w:t>’</w:t>
      </w:r>
      <w:r>
        <w:rPr>
          <w:color w:val="000000"/>
        </w:rPr>
        <w:t>art. 1 co. 2</w:t>
      </w:r>
      <w:r>
        <w:t xml:space="preserve"> del decreto-legge n. </w:t>
      </w:r>
      <w:r>
        <w:rPr>
          <w:color w:val="000000"/>
        </w:rPr>
        <w:t>73/2017, convertito con le</w:t>
      </w:r>
      <w:r>
        <w:t>gge n</w:t>
      </w:r>
      <w:r>
        <w:rPr>
          <w:color w:val="000000"/>
        </w:rPr>
        <w:t>. 119</w:t>
      </w:r>
      <w:r>
        <w:t>/20</w:t>
      </w:r>
      <w:r>
        <w:rPr>
          <w:color w:val="000000"/>
        </w:rPr>
        <w:t xml:space="preserve">17, in base al quale </w:t>
      </w:r>
      <w:r>
        <w:t>“</w:t>
      </w:r>
      <w:r>
        <w:rPr>
          <w:i/>
          <w:color w:val="000000"/>
        </w:rPr>
        <w:t>L'avvenuta immunizzazione a seguito</w:t>
      </w:r>
      <w:r w:rsidR="00A11FED">
        <w:rPr>
          <w:i/>
          <w:color w:val="000000"/>
        </w:rPr>
        <w:t xml:space="preserve"> </w:t>
      </w:r>
      <w:r>
        <w:rPr>
          <w:i/>
          <w:color w:val="000000"/>
        </w:rPr>
        <w:t xml:space="preserve">di malattia </w:t>
      </w:r>
      <w:r w:rsidR="00A11FED">
        <w:rPr>
          <w:i/>
          <w:color w:val="000000"/>
        </w:rPr>
        <w:t>n</w:t>
      </w:r>
      <w:r>
        <w:rPr>
          <w:i/>
          <w:color w:val="000000"/>
        </w:rPr>
        <w:t>atural</w:t>
      </w:r>
      <w:r>
        <w:rPr>
          <w:i/>
        </w:rPr>
        <w:t xml:space="preserve">e, </w:t>
      </w:r>
      <w:r>
        <w:rPr>
          <w:i/>
          <w:color w:val="000000"/>
        </w:rPr>
        <w:t>comprovata dalla notifica effettuata dal medico curante, ai sensi dell'articolo 1 del decreto del Ministro della sanit</w:t>
      </w:r>
      <w:r w:rsidR="00EB4124">
        <w:rPr>
          <w:i/>
          <w:color w:val="000000"/>
        </w:rPr>
        <w:t>à</w:t>
      </w:r>
      <w:r>
        <w:rPr>
          <w:i/>
          <w:color w:val="000000"/>
        </w:rPr>
        <w:t xml:space="preserve"> 15 dicembre</w:t>
      </w:r>
      <w:r>
        <w:rPr>
          <w:i/>
        </w:rPr>
        <w:t xml:space="preserve"> </w:t>
      </w:r>
      <w:r>
        <w:rPr>
          <w:i/>
          <w:color w:val="000000"/>
        </w:rPr>
        <w:t>1990, pubblicato nella Gazzetta Ufficiale n. 6 dell'8 gennaio 1991, ovvero dagli esiti dell'analisi sierologica, esonera dall'obbligo</w:t>
      </w:r>
      <w:r>
        <w:rPr>
          <w:i/>
        </w:rPr>
        <w:t xml:space="preserve"> </w:t>
      </w:r>
      <w:r>
        <w:rPr>
          <w:i/>
          <w:color w:val="000000"/>
        </w:rPr>
        <w:t>della relativa vaccinazione</w:t>
      </w:r>
      <w:r>
        <w:t>”</w:t>
      </w:r>
      <w:r>
        <w:rPr>
          <w:color w:val="000000"/>
        </w:rPr>
        <w:t>.</w:t>
      </w:r>
    </w:p>
    <w:p w14:paraId="21BCDDC8" w14:textId="2EAC93C9" w:rsidR="001758E2" w:rsidRDefault="001758E2" w:rsidP="001758E2">
      <w:pPr>
        <w:pBdr>
          <w:top w:val="nil"/>
          <w:left w:val="nil"/>
          <w:bottom w:val="nil"/>
          <w:right w:val="nil"/>
          <w:between w:val="nil"/>
        </w:pBd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hanging="2"/>
        <w:jc w:val="both"/>
        <w:rPr>
          <w:color w:val="000000"/>
        </w:rPr>
      </w:pPr>
      <w:r>
        <w:rPr>
          <w:color w:val="000000"/>
        </w:rPr>
        <w:t xml:space="preserve">Allo stesso modo appare del tutto irragionevole e </w:t>
      </w:r>
      <w:proofErr w:type="spellStart"/>
      <w:r>
        <w:rPr>
          <w:color w:val="000000"/>
        </w:rPr>
        <w:t>violativo</w:t>
      </w:r>
      <w:proofErr w:type="spellEnd"/>
      <w:r>
        <w:rPr>
          <w:color w:val="000000"/>
        </w:rPr>
        <w:t xml:space="preserve"> dell’art. 3 e 97 Cost. la finalità del trattamento dei dati sensibili in capo all’Ente Riscossione laddove il titolare del Trattamento sia il Ministero della Salute il quale, al fine di tutelare la salute pubblica e mantenere adeguate condizioni di sicurezza nell'erogazione delle prestazioni di cura e assistenza, ha </w:t>
      </w:r>
      <w:r>
        <w:t>previsto</w:t>
      </w:r>
      <w:r>
        <w:rPr>
          <w:color w:val="000000"/>
        </w:rPr>
        <w:t xml:space="preserve"> l'obbligo vaccinale per la prevenzione dell'infezione da SARS-CoV-2 anche ai soggetti che abbiano compiuto il cinquantesimo anno di età all’entrata in vigore del D.L. n. 1 del 7.1.2022.</w:t>
      </w:r>
    </w:p>
    <w:p w14:paraId="136979CB" w14:textId="77777777" w:rsidR="00650AA2" w:rsidRPr="00650AA2" w:rsidRDefault="00650AA2" w:rsidP="00650AA2">
      <w:pPr>
        <w:pBdr>
          <w:top w:val="nil"/>
          <w:left w:val="nil"/>
          <w:bottom w:val="nil"/>
          <w:right w:val="nil"/>
          <w:between w:val="nil"/>
        </w:pBd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hanging="2"/>
        <w:jc w:val="both"/>
        <w:rPr>
          <w:color w:val="000000"/>
        </w:rPr>
      </w:pPr>
      <w:r w:rsidRPr="00650AA2">
        <w:rPr>
          <w:color w:val="000000"/>
        </w:rPr>
        <w:t>L’imposizione ex lege dell’obbligatorietà vaccinale ad una determinata categoria di soggetti, over 50, lede significativamente il dettato costituzionale ex art. 3 Cost. a norma del quale “</w:t>
      </w:r>
      <w:r w:rsidRPr="00650AA2">
        <w:rPr>
          <w:i/>
          <w:color w:val="000000"/>
        </w:rPr>
        <w:t>Tutti i cittadini hanno pari dignità sociale e sono eguali davanti alla legge, senza distinzione di sesso, di razza, di lingua, di religione, di opinioni politiche, di condizioni personali e sociali</w:t>
      </w:r>
      <w:r w:rsidRPr="00650AA2">
        <w:rPr>
          <w:color w:val="000000"/>
        </w:rPr>
        <w:t>”.</w:t>
      </w:r>
    </w:p>
    <w:p w14:paraId="50722CCC" w14:textId="1944760C" w:rsidR="00650AA2" w:rsidRPr="00650AA2" w:rsidRDefault="00650AA2" w:rsidP="00650AA2">
      <w:pPr>
        <w:pBdr>
          <w:top w:val="nil"/>
          <w:left w:val="nil"/>
          <w:bottom w:val="nil"/>
          <w:right w:val="nil"/>
          <w:between w:val="nil"/>
        </w:pBd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hanging="2"/>
        <w:jc w:val="both"/>
        <w:rPr>
          <w:color w:val="000000"/>
        </w:rPr>
      </w:pPr>
      <w:r>
        <w:rPr>
          <w:color w:val="000000"/>
        </w:rPr>
        <w:t>Irragionevole ed illogica – oltre che inespressa – è la</w:t>
      </w:r>
      <w:r w:rsidRPr="00650AA2">
        <w:rPr>
          <w:color w:val="000000"/>
        </w:rPr>
        <w:t xml:space="preserve"> </w:t>
      </w:r>
      <w:r w:rsidRPr="00650AA2">
        <w:rPr>
          <w:i/>
          <w:color w:val="000000"/>
        </w:rPr>
        <w:t xml:space="preserve">ratio </w:t>
      </w:r>
      <w:proofErr w:type="spellStart"/>
      <w:r w:rsidRPr="00650AA2">
        <w:rPr>
          <w:i/>
          <w:color w:val="000000"/>
        </w:rPr>
        <w:t>legis</w:t>
      </w:r>
      <w:proofErr w:type="spellEnd"/>
      <w:r w:rsidRPr="00650AA2">
        <w:rPr>
          <w:color w:val="000000"/>
        </w:rPr>
        <w:t xml:space="preserve"> della normativa che sanziona una data categoria di soggetti, </w:t>
      </w:r>
      <w:r>
        <w:rPr>
          <w:color w:val="000000"/>
        </w:rPr>
        <w:t xml:space="preserve">gli </w:t>
      </w:r>
      <w:r w:rsidRPr="00650AA2">
        <w:rPr>
          <w:color w:val="000000"/>
        </w:rPr>
        <w:t>ultracinquantenni, per non aver adempiuto all’obbligo vaccinale, obbligo imposto al fine di salvaguardare la salute pubblica, in assenza di qualsivoglia dato scientifico atto a dimostrare che gli ultracinquantenni siano più contagiosi e, per contro, siano più bisognosi di tutela.</w:t>
      </w:r>
    </w:p>
    <w:p w14:paraId="2DAE4F42" w14:textId="5CB01887" w:rsidR="00650AA2" w:rsidRDefault="00650AA2" w:rsidP="00650AA2">
      <w:pPr>
        <w:pBdr>
          <w:top w:val="nil"/>
          <w:left w:val="nil"/>
          <w:bottom w:val="nil"/>
          <w:right w:val="nil"/>
          <w:between w:val="nil"/>
        </w:pBdr>
        <w:shd w:val="clear" w:color="auto" w:fill="FBFA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hanging="2"/>
        <w:jc w:val="both"/>
        <w:rPr>
          <w:color w:val="000000"/>
        </w:rPr>
      </w:pPr>
      <w:r>
        <w:rPr>
          <w:color w:val="000000"/>
        </w:rPr>
        <w:t>L</w:t>
      </w:r>
      <w:r w:rsidRPr="00650AA2">
        <w:rPr>
          <w:color w:val="000000"/>
        </w:rPr>
        <w:t xml:space="preserve">a normativa </w:t>
      </w:r>
      <w:r w:rsidRPr="00650AA2">
        <w:rPr>
          <w:i/>
          <w:color w:val="000000"/>
        </w:rPr>
        <w:t>de quo</w:t>
      </w:r>
      <w:r w:rsidRPr="00650AA2">
        <w:rPr>
          <w:color w:val="000000"/>
        </w:rPr>
        <w:t xml:space="preserve"> sotto il duplice profilo della violazione del principio di ragionevolezza e proporzionalità quali parametri per sindacare in astratto, l’illogicità e la contraddittorietà </w:t>
      </w:r>
      <w:r w:rsidRPr="00650AA2">
        <w:rPr>
          <w:color w:val="000000"/>
        </w:rPr>
        <w:lastRenderedPageBreak/>
        <w:t>dell’atto normativo e, conseguentemente, per richiedere e ottenere l’annullamento dell’avviso di addebito impugnato e la relativa sanzione</w:t>
      </w:r>
      <w:r>
        <w:rPr>
          <w:color w:val="000000"/>
        </w:rPr>
        <w:t>.</w:t>
      </w:r>
    </w:p>
    <w:p w14:paraId="00000033" w14:textId="3D727336" w:rsidR="009F2746" w:rsidRDefault="00EF4909" w:rsidP="00EF4909">
      <w:pPr>
        <w:pBdr>
          <w:top w:val="nil"/>
          <w:left w:val="nil"/>
          <w:bottom w:val="nil"/>
          <w:right w:val="nil"/>
          <w:between w:val="nil"/>
        </w:pBdr>
        <w:spacing w:line="360" w:lineRule="auto"/>
        <w:ind w:left="0" w:hanging="2"/>
        <w:jc w:val="center"/>
      </w:pPr>
      <w:r>
        <w:t>*</w:t>
      </w:r>
    </w:p>
    <w:p w14:paraId="00000034" w14:textId="77777777" w:rsidR="009F2746" w:rsidRPr="005021EC" w:rsidRDefault="00156262">
      <w:pPr>
        <w:widowControl w:val="0"/>
        <w:pBdr>
          <w:top w:val="nil"/>
          <w:left w:val="nil"/>
          <w:bottom w:val="nil"/>
          <w:right w:val="nil"/>
          <w:between w:val="nil"/>
        </w:pBdr>
        <w:tabs>
          <w:tab w:val="left" w:pos="1418"/>
          <w:tab w:val="left" w:pos="7938"/>
          <w:tab w:val="left" w:pos="8505"/>
        </w:tabs>
        <w:spacing w:line="360" w:lineRule="auto"/>
        <w:ind w:left="0" w:right="567" w:hanging="2"/>
        <w:jc w:val="center"/>
        <w:rPr>
          <w:color w:val="000000"/>
          <w:highlight w:val="yellow"/>
        </w:rPr>
      </w:pPr>
      <w:r w:rsidRPr="005021EC">
        <w:rPr>
          <w:b/>
          <w:color w:val="000000"/>
          <w:highlight w:val="yellow"/>
        </w:rPr>
        <w:t>ISTANZA CAUTELARE</w:t>
      </w:r>
      <w:r w:rsidRPr="005021EC">
        <w:rPr>
          <w:b/>
          <w:color w:val="000000"/>
          <w:highlight w:val="yellow"/>
          <w:vertAlign w:val="superscript"/>
        </w:rPr>
        <w:footnoteReference w:id="12"/>
      </w:r>
    </w:p>
    <w:p w14:paraId="00000035" w14:textId="77777777" w:rsidR="009F2746" w:rsidRPr="005021EC" w:rsidRDefault="00156262">
      <w:pPr>
        <w:widowControl w:val="0"/>
        <w:pBdr>
          <w:top w:val="nil"/>
          <w:left w:val="nil"/>
          <w:bottom w:val="nil"/>
          <w:right w:val="nil"/>
          <w:between w:val="nil"/>
        </w:pBdr>
        <w:tabs>
          <w:tab w:val="left" w:pos="2835"/>
        </w:tabs>
        <w:spacing w:line="360" w:lineRule="auto"/>
        <w:ind w:left="0" w:right="567" w:hanging="2"/>
        <w:jc w:val="both"/>
        <w:rPr>
          <w:color w:val="000000"/>
          <w:highlight w:val="yellow"/>
        </w:rPr>
      </w:pPr>
      <w:r w:rsidRPr="005021EC">
        <w:rPr>
          <w:color w:val="000000"/>
          <w:highlight w:val="yellow"/>
        </w:rPr>
        <w:t xml:space="preserve">Si chiede la sospensione dell’efficacia dell’avviso di addebito. </w:t>
      </w:r>
    </w:p>
    <w:p w14:paraId="00000036" w14:textId="77777777" w:rsidR="009F2746" w:rsidRPr="005021EC" w:rsidRDefault="00156262">
      <w:pPr>
        <w:widowControl w:val="0"/>
        <w:pBdr>
          <w:top w:val="nil"/>
          <w:left w:val="nil"/>
          <w:bottom w:val="nil"/>
          <w:right w:val="nil"/>
          <w:between w:val="nil"/>
        </w:pBdr>
        <w:tabs>
          <w:tab w:val="left" w:pos="2835"/>
        </w:tabs>
        <w:spacing w:line="360" w:lineRule="auto"/>
        <w:ind w:left="0" w:right="567" w:hanging="2"/>
        <w:jc w:val="both"/>
        <w:rPr>
          <w:color w:val="000000"/>
          <w:highlight w:val="yellow"/>
        </w:rPr>
      </w:pPr>
      <w:r w:rsidRPr="005021EC">
        <w:rPr>
          <w:color w:val="000000"/>
          <w:highlight w:val="yellow"/>
        </w:rPr>
        <w:t xml:space="preserve">Quanto sin qui evidenziato in diritto con riguardo ai fondati profili di nullità del detto avviso, rileva ai fini della indiscutibile sussistenza del </w:t>
      </w:r>
      <w:r w:rsidRPr="005021EC">
        <w:rPr>
          <w:i/>
          <w:color w:val="000000"/>
          <w:highlight w:val="yellow"/>
        </w:rPr>
        <w:t>fumus boni iuris.</w:t>
      </w:r>
      <w:r w:rsidRPr="005021EC">
        <w:rPr>
          <w:color w:val="000000"/>
          <w:highlight w:val="yellow"/>
        </w:rPr>
        <w:t xml:space="preserve"> </w:t>
      </w:r>
    </w:p>
    <w:p w14:paraId="00000037" w14:textId="1177018C" w:rsidR="009F2746" w:rsidRPr="005021EC" w:rsidRDefault="00156262">
      <w:pPr>
        <w:widowControl w:val="0"/>
        <w:pBdr>
          <w:top w:val="nil"/>
          <w:left w:val="nil"/>
          <w:bottom w:val="nil"/>
          <w:right w:val="nil"/>
          <w:between w:val="nil"/>
        </w:pBdr>
        <w:tabs>
          <w:tab w:val="left" w:pos="2835"/>
        </w:tabs>
        <w:spacing w:line="360" w:lineRule="auto"/>
        <w:ind w:left="0" w:right="567" w:hanging="2"/>
        <w:jc w:val="both"/>
        <w:rPr>
          <w:color w:val="000000"/>
          <w:highlight w:val="yellow"/>
        </w:rPr>
      </w:pPr>
      <w:r w:rsidRPr="005021EC">
        <w:rPr>
          <w:color w:val="000000"/>
          <w:highlight w:val="yellow"/>
        </w:rPr>
        <w:t xml:space="preserve">Allo stesso modo pare evidente nel caso di specie il </w:t>
      </w:r>
      <w:r w:rsidRPr="005021EC">
        <w:rPr>
          <w:i/>
          <w:color w:val="000000"/>
          <w:highlight w:val="yellow"/>
        </w:rPr>
        <w:t>periculum in mora,</w:t>
      </w:r>
      <w:r w:rsidRPr="005021EC">
        <w:rPr>
          <w:color w:val="000000"/>
          <w:highlight w:val="yellow"/>
        </w:rPr>
        <w:t xml:space="preserve"> per l’antigiuridicità e ingiustizia dell’addebito di un</w:t>
      </w:r>
      <w:r w:rsidR="00EB52FB">
        <w:rPr>
          <w:color w:val="000000"/>
          <w:highlight w:val="yellow"/>
        </w:rPr>
        <w:t>a</w:t>
      </w:r>
      <w:r w:rsidRPr="005021EC">
        <w:rPr>
          <w:color w:val="000000"/>
          <w:highlight w:val="yellow"/>
        </w:rPr>
        <w:t xml:space="preserve"> somma sia pure di valore esiguo.  </w:t>
      </w:r>
    </w:p>
    <w:p w14:paraId="00000038" w14:textId="77777777" w:rsidR="009F2746" w:rsidRDefault="00156262" w:rsidP="005021EC">
      <w:pPr>
        <w:widowControl w:val="0"/>
        <w:pBdr>
          <w:top w:val="nil"/>
          <w:left w:val="nil"/>
          <w:bottom w:val="nil"/>
          <w:right w:val="nil"/>
          <w:between w:val="nil"/>
        </w:pBdr>
        <w:tabs>
          <w:tab w:val="left" w:pos="2835"/>
        </w:tabs>
        <w:spacing w:line="360" w:lineRule="auto"/>
        <w:ind w:left="0" w:right="567" w:hanging="2"/>
        <w:jc w:val="both"/>
        <w:rPr>
          <w:color w:val="000000"/>
        </w:rPr>
      </w:pPr>
      <w:r w:rsidRPr="005021EC">
        <w:rPr>
          <w:color w:val="000000"/>
          <w:highlight w:val="yellow"/>
        </w:rPr>
        <w:t xml:space="preserve">Si tenga presente che l’istante versa in condizioni economiche disagevoli (v. </w:t>
      </w:r>
      <w:proofErr w:type="spellStart"/>
      <w:r w:rsidRPr="005021EC">
        <w:rPr>
          <w:color w:val="000000"/>
          <w:highlight w:val="yellow"/>
        </w:rPr>
        <w:t>alleg</w:t>
      </w:r>
      <w:proofErr w:type="spellEnd"/>
      <w:r w:rsidRPr="005021EC">
        <w:rPr>
          <w:color w:val="000000"/>
          <w:highlight w:val="yellow"/>
        </w:rPr>
        <w:t>. ISEE)</w:t>
      </w:r>
      <w:r w:rsidRPr="005021EC">
        <w:rPr>
          <w:color w:val="000000"/>
          <w:highlight w:val="yellow"/>
          <w:vertAlign w:val="superscript"/>
        </w:rPr>
        <w:footnoteReference w:id="13"/>
      </w:r>
      <w:r w:rsidRPr="005021EC">
        <w:rPr>
          <w:color w:val="000000"/>
          <w:highlight w:val="yellow"/>
        </w:rPr>
        <w:t>.</w:t>
      </w:r>
      <w:r>
        <w:rPr>
          <w:color w:val="000000"/>
        </w:rPr>
        <w:t xml:space="preserve"> </w:t>
      </w:r>
    </w:p>
    <w:p w14:paraId="00000039" w14:textId="77777777" w:rsidR="009F2746" w:rsidRDefault="00156262">
      <w:pPr>
        <w:widowControl w:val="0"/>
        <w:pBdr>
          <w:top w:val="nil"/>
          <w:left w:val="nil"/>
          <w:bottom w:val="nil"/>
          <w:right w:val="nil"/>
          <w:between w:val="nil"/>
        </w:pBdr>
        <w:tabs>
          <w:tab w:val="left" w:pos="284"/>
          <w:tab w:val="left" w:pos="1418"/>
          <w:tab w:val="left" w:pos="7938"/>
          <w:tab w:val="left" w:pos="8505"/>
        </w:tabs>
        <w:spacing w:line="240" w:lineRule="auto"/>
        <w:ind w:left="0" w:right="567" w:hanging="2"/>
        <w:jc w:val="center"/>
        <w:rPr>
          <w:color w:val="000000"/>
        </w:rPr>
      </w:pPr>
      <w:r>
        <w:rPr>
          <w:color w:val="000000"/>
        </w:rPr>
        <w:t>***</w:t>
      </w:r>
    </w:p>
    <w:p w14:paraId="0000003A" w14:textId="53F9B01E" w:rsidR="009F2746" w:rsidRDefault="00156262">
      <w:pPr>
        <w:pBdr>
          <w:top w:val="nil"/>
          <w:left w:val="nil"/>
          <w:bottom w:val="nil"/>
          <w:right w:val="nil"/>
          <w:between w:val="nil"/>
        </w:pBdr>
        <w:spacing w:line="360" w:lineRule="auto"/>
        <w:ind w:left="0" w:right="594" w:hanging="2"/>
        <w:jc w:val="both"/>
        <w:rPr>
          <w:color w:val="000000"/>
          <w:u w:val="single"/>
        </w:rPr>
      </w:pPr>
      <w:r>
        <w:rPr>
          <w:color w:val="000000"/>
        </w:rPr>
        <w:t xml:space="preserve">Tutto quanto sopra premesso e considerato, </w:t>
      </w:r>
      <w:r w:rsidRPr="005021EC">
        <w:rPr>
          <w:color w:val="000000"/>
          <w:highlight w:val="yellow"/>
        </w:rPr>
        <w:t>Il / La Sig. / Sig.ra __________</w:t>
      </w:r>
      <w:r w:rsidRPr="005021EC">
        <w:rPr>
          <w:b/>
          <w:color w:val="000000"/>
          <w:highlight w:val="yellow"/>
        </w:rPr>
        <w:t>,</w:t>
      </w:r>
      <w:r>
        <w:rPr>
          <w:color w:val="000000"/>
        </w:rPr>
        <w:t xml:space="preserve"> </w:t>
      </w:r>
      <w:r w:rsidR="005021EC">
        <w:rPr>
          <w:color w:val="000000"/>
        </w:rPr>
        <w:t>domiciliato come in epigrafe</w:t>
      </w:r>
    </w:p>
    <w:p w14:paraId="0000003B" w14:textId="77777777" w:rsidR="009F2746" w:rsidRDefault="00156262">
      <w:pPr>
        <w:widowControl w:val="0"/>
        <w:pBdr>
          <w:top w:val="nil"/>
          <w:left w:val="nil"/>
          <w:bottom w:val="nil"/>
          <w:right w:val="nil"/>
          <w:between w:val="nil"/>
        </w:pBdr>
        <w:tabs>
          <w:tab w:val="left" w:pos="1418"/>
          <w:tab w:val="left" w:pos="7938"/>
          <w:tab w:val="left" w:pos="8505"/>
        </w:tabs>
        <w:spacing w:line="360" w:lineRule="auto"/>
        <w:ind w:left="0" w:right="567" w:hanging="2"/>
        <w:jc w:val="center"/>
        <w:rPr>
          <w:color w:val="000000"/>
        </w:rPr>
      </w:pPr>
      <w:r>
        <w:rPr>
          <w:b/>
          <w:color w:val="000000"/>
        </w:rPr>
        <w:t>C H I E D E</w:t>
      </w:r>
    </w:p>
    <w:p w14:paraId="0000003C" w14:textId="77777777" w:rsidR="009F2746" w:rsidRDefault="00156262">
      <w:pPr>
        <w:widowControl w:val="0"/>
        <w:pBdr>
          <w:top w:val="nil"/>
          <w:left w:val="nil"/>
          <w:bottom w:val="nil"/>
          <w:right w:val="nil"/>
          <w:between w:val="nil"/>
        </w:pBdr>
        <w:tabs>
          <w:tab w:val="left" w:pos="1418"/>
          <w:tab w:val="left" w:pos="7938"/>
          <w:tab w:val="left" w:pos="8505"/>
        </w:tabs>
        <w:spacing w:line="360" w:lineRule="auto"/>
        <w:ind w:left="0" w:right="567" w:hanging="2"/>
        <w:jc w:val="both"/>
        <w:rPr>
          <w:color w:val="000000"/>
        </w:rPr>
      </w:pPr>
      <w:r>
        <w:rPr>
          <w:color w:val="000000"/>
        </w:rPr>
        <w:t xml:space="preserve">al Giudice di Pace di </w:t>
      </w:r>
      <w:r w:rsidRPr="005021EC">
        <w:rPr>
          <w:color w:val="000000"/>
          <w:highlight w:val="yellow"/>
        </w:rPr>
        <w:t>_________,</w:t>
      </w:r>
      <w:r>
        <w:rPr>
          <w:b/>
          <w:color w:val="000000"/>
        </w:rPr>
        <w:t xml:space="preserve"> </w:t>
      </w:r>
      <w:bookmarkStart w:id="9" w:name="_Hlk122512181"/>
      <w:r w:rsidRPr="005021EC">
        <w:rPr>
          <w:b/>
          <w:i/>
          <w:color w:val="000000"/>
          <w:highlight w:val="yellow"/>
        </w:rPr>
        <w:t>previa sospensione dell’avviso di addebito notificato</w:t>
      </w:r>
      <w:r w:rsidRPr="005021EC">
        <w:rPr>
          <w:b/>
          <w:i/>
          <w:color w:val="000000"/>
          <w:highlight w:val="yellow"/>
          <w:vertAlign w:val="superscript"/>
        </w:rPr>
        <w:footnoteReference w:id="14"/>
      </w:r>
      <w:r w:rsidRPr="005021EC">
        <w:rPr>
          <w:color w:val="000000"/>
          <w:highlight w:val="yellow"/>
        </w:rPr>
        <w:t>,</w:t>
      </w:r>
      <w:r>
        <w:rPr>
          <w:color w:val="000000"/>
        </w:rPr>
        <w:t xml:space="preserve"> </w:t>
      </w:r>
      <w:bookmarkEnd w:id="9"/>
      <w:r>
        <w:rPr>
          <w:color w:val="000000"/>
        </w:rPr>
        <w:t>di voler</w:t>
      </w:r>
    </w:p>
    <w:p w14:paraId="0000003D" w14:textId="77777777" w:rsidR="009F2746" w:rsidRDefault="00156262" w:rsidP="005021EC">
      <w:pPr>
        <w:widowControl w:val="0"/>
        <w:numPr>
          <w:ilvl w:val="0"/>
          <w:numId w:val="1"/>
        </w:numPr>
        <w:pBdr>
          <w:top w:val="nil"/>
          <w:left w:val="nil"/>
          <w:bottom w:val="nil"/>
          <w:right w:val="nil"/>
          <w:between w:val="nil"/>
        </w:pBdr>
        <w:tabs>
          <w:tab w:val="left" w:pos="426"/>
          <w:tab w:val="left" w:pos="7938"/>
          <w:tab w:val="left" w:pos="8505"/>
        </w:tabs>
        <w:spacing w:line="360" w:lineRule="auto"/>
        <w:ind w:left="0" w:right="567" w:hanging="2"/>
        <w:jc w:val="both"/>
        <w:rPr>
          <w:color w:val="000000"/>
        </w:rPr>
      </w:pPr>
      <w:r>
        <w:rPr>
          <w:color w:val="000000"/>
        </w:rPr>
        <w:t>annullare l’avviso di addebito n. _</w:t>
      </w:r>
      <w:r w:rsidRPr="005021EC">
        <w:rPr>
          <w:color w:val="000000"/>
          <w:highlight w:val="yellow"/>
        </w:rPr>
        <w:t>_______</w:t>
      </w:r>
      <w:r>
        <w:rPr>
          <w:color w:val="000000"/>
        </w:rPr>
        <w:t xml:space="preserve">, notificato in data </w:t>
      </w:r>
      <w:r w:rsidRPr="005021EC">
        <w:rPr>
          <w:color w:val="000000"/>
          <w:highlight w:val="yellow"/>
        </w:rPr>
        <w:t>________</w:t>
      </w:r>
      <w:r>
        <w:rPr>
          <w:color w:val="000000"/>
        </w:rPr>
        <w:t xml:space="preserve"> per i motivi di cui in premessa</w:t>
      </w:r>
    </w:p>
    <w:p w14:paraId="20B7C3CF" w14:textId="7305ACC6" w:rsidR="00EF4909" w:rsidRDefault="00156262" w:rsidP="00EF4909">
      <w:pPr>
        <w:widowControl w:val="0"/>
        <w:numPr>
          <w:ilvl w:val="0"/>
          <w:numId w:val="1"/>
        </w:numPr>
        <w:pBdr>
          <w:top w:val="nil"/>
          <w:left w:val="nil"/>
          <w:bottom w:val="nil"/>
          <w:right w:val="nil"/>
          <w:between w:val="nil"/>
        </w:pBdr>
        <w:tabs>
          <w:tab w:val="left" w:pos="284"/>
          <w:tab w:val="left" w:pos="7938"/>
          <w:tab w:val="left" w:pos="8505"/>
        </w:tabs>
        <w:spacing w:line="360" w:lineRule="auto"/>
        <w:ind w:left="0" w:right="567" w:hanging="2"/>
        <w:jc w:val="both"/>
        <w:rPr>
          <w:color w:val="000000"/>
        </w:rPr>
      </w:pPr>
      <w:r>
        <w:rPr>
          <w:color w:val="000000"/>
        </w:rPr>
        <w:t xml:space="preserve"> con vittoria di spese e competenze legali, mentre nella denegata ipotesi di rigetto del presente ricorso, si chiede l’applicazione dell’art. 91 comma 4 cpc secondo il quale: “</w:t>
      </w:r>
      <w:r>
        <w:rPr>
          <w:i/>
          <w:color w:val="000000"/>
        </w:rPr>
        <w:t>Nelle cause previste dall'articolo 82, primo comma, le spese, competenze ed onorari liquidati dal giudice non possono superare il valore della domanda.</w:t>
      </w:r>
      <w:r>
        <w:rPr>
          <w:color w:val="000000"/>
        </w:rPr>
        <w:t>”</w:t>
      </w:r>
    </w:p>
    <w:p w14:paraId="66C04437" w14:textId="685099D7" w:rsidR="00EF4909" w:rsidRDefault="00EF4909" w:rsidP="00EF4909">
      <w:pPr>
        <w:pBdr>
          <w:top w:val="nil"/>
          <w:left w:val="nil"/>
          <w:bottom w:val="nil"/>
          <w:right w:val="nil"/>
          <w:between w:val="nil"/>
        </w:pBdr>
        <w:spacing w:line="360" w:lineRule="auto"/>
        <w:ind w:left="0" w:right="575" w:hanging="2"/>
        <w:jc w:val="both"/>
        <w:rPr>
          <w:color w:val="333333"/>
        </w:rPr>
      </w:pPr>
      <w:r>
        <w:rPr>
          <w:b/>
          <w:color w:val="333333"/>
          <w:u w:val="single"/>
        </w:rPr>
        <w:t>In via istruttoria:</w:t>
      </w:r>
      <w:r w:rsidRPr="00EB4124">
        <w:rPr>
          <w:color w:val="333333"/>
        </w:rPr>
        <w:t xml:space="preserve"> </w:t>
      </w:r>
      <w:r w:rsidR="00EB4124" w:rsidRPr="00EB4124">
        <w:rPr>
          <w:color w:val="333333"/>
        </w:rPr>
        <w:t>o</w:t>
      </w:r>
      <w:r w:rsidRPr="00EB4124">
        <w:rPr>
          <w:color w:val="333333"/>
        </w:rPr>
        <w:t>rdinare</w:t>
      </w:r>
      <w:r>
        <w:rPr>
          <w:color w:val="333333"/>
        </w:rPr>
        <w:t xml:space="preserve"> ex art. 213 c.p.c. all’Agenzia delle Entrate – Riscossioni di esibire l’elenco trasmesso dal Ministero della Salute ai sensi dell’art. 4 sexies, comma 3 D.L. 44/2021, convertito con le modificazioni dalla Legge n. 76/2021 dal quale risulta che l’odierno ricorrente alla data del 15.06.2022 non avesse iniziato il ciclo vaccinale primario.</w:t>
      </w:r>
    </w:p>
    <w:p w14:paraId="7905EC2F" w14:textId="77777777" w:rsidR="00EF4909" w:rsidRDefault="00EF4909" w:rsidP="00EF4909">
      <w:pPr>
        <w:pBdr>
          <w:top w:val="nil"/>
          <w:left w:val="nil"/>
          <w:bottom w:val="nil"/>
          <w:right w:val="nil"/>
          <w:between w:val="nil"/>
        </w:pBdr>
        <w:spacing w:line="360" w:lineRule="auto"/>
        <w:ind w:left="0" w:right="575" w:hanging="2"/>
        <w:jc w:val="both"/>
        <w:rPr>
          <w:color w:val="333333"/>
        </w:rPr>
      </w:pPr>
      <w:r>
        <w:rPr>
          <w:color w:val="333333"/>
        </w:rPr>
        <w:lastRenderedPageBreak/>
        <w:t>Con espressa riserva di indicare ulteriori mezzi istruttori e di integrare e/o modificare le conclusioni del presente ricorso a seguito dell’esibizione richiesta in via istruttoria e a seguito delle difese della resistente.</w:t>
      </w:r>
    </w:p>
    <w:p w14:paraId="7342D117" w14:textId="77777777" w:rsidR="00EF4909" w:rsidRDefault="00EF4909" w:rsidP="00EF4909">
      <w:pPr>
        <w:shd w:val="clear" w:color="auto" w:fill="FFFFFF"/>
        <w:spacing w:line="360" w:lineRule="auto"/>
        <w:ind w:left="0" w:right="575" w:hanging="2"/>
        <w:jc w:val="both"/>
        <w:rPr>
          <w:color w:val="333333"/>
        </w:rPr>
      </w:pPr>
      <w:r>
        <w:rPr>
          <w:color w:val="333333"/>
        </w:rPr>
        <w:t>Con vittoria di spese, diritti ed onorari di causa.</w:t>
      </w:r>
    </w:p>
    <w:p w14:paraId="309C3E4A" w14:textId="77777777" w:rsidR="00EF4909" w:rsidRPr="00EF4909" w:rsidRDefault="00EF4909" w:rsidP="00EF4909">
      <w:pPr>
        <w:widowControl w:val="0"/>
        <w:pBdr>
          <w:top w:val="nil"/>
          <w:left w:val="nil"/>
          <w:bottom w:val="nil"/>
          <w:right w:val="nil"/>
          <w:between w:val="nil"/>
        </w:pBdr>
        <w:tabs>
          <w:tab w:val="left" w:pos="284"/>
          <w:tab w:val="left" w:pos="7938"/>
          <w:tab w:val="left" w:pos="8505"/>
        </w:tabs>
        <w:spacing w:line="360" w:lineRule="auto"/>
        <w:ind w:leftChars="0" w:left="0" w:right="567" w:firstLineChars="0" w:firstLine="0"/>
        <w:jc w:val="both"/>
        <w:rPr>
          <w:color w:val="000000"/>
        </w:rPr>
      </w:pPr>
    </w:p>
    <w:p w14:paraId="0000003F" w14:textId="48FABDF5" w:rsidR="009F2746" w:rsidRDefault="005021EC" w:rsidP="005021EC">
      <w:pPr>
        <w:pBdr>
          <w:top w:val="nil"/>
          <w:left w:val="nil"/>
          <w:bottom w:val="nil"/>
          <w:right w:val="nil"/>
          <w:between w:val="nil"/>
        </w:pBdr>
        <w:spacing w:line="360" w:lineRule="auto"/>
        <w:ind w:left="0" w:right="594" w:hanging="2"/>
        <w:jc w:val="center"/>
      </w:pPr>
      <w:r>
        <w:t>*</w:t>
      </w:r>
    </w:p>
    <w:p w14:paraId="00000040" w14:textId="77777777" w:rsidR="009F2746" w:rsidRDefault="00156262">
      <w:pPr>
        <w:pBdr>
          <w:top w:val="nil"/>
          <w:left w:val="nil"/>
          <w:bottom w:val="nil"/>
          <w:right w:val="nil"/>
          <w:between w:val="nil"/>
        </w:pBdr>
        <w:spacing w:line="360" w:lineRule="auto"/>
        <w:ind w:left="0" w:right="594" w:hanging="2"/>
        <w:jc w:val="both"/>
      </w:pPr>
      <w:r>
        <w:rPr>
          <w:color w:val="000000"/>
        </w:rPr>
        <w:t xml:space="preserve">Si </w:t>
      </w:r>
      <w:r>
        <w:t>allega:</w:t>
      </w:r>
    </w:p>
    <w:p w14:paraId="00000041" w14:textId="77777777" w:rsidR="009F2746" w:rsidRDefault="00156262" w:rsidP="005021EC">
      <w:pPr>
        <w:pStyle w:val="Paragrafoelenco"/>
        <w:numPr>
          <w:ilvl w:val="0"/>
          <w:numId w:val="2"/>
        </w:numPr>
        <w:pBdr>
          <w:top w:val="nil"/>
          <w:left w:val="nil"/>
          <w:bottom w:val="nil"/>
          <w:right w:val="nil"/>
          <w:between w:val="nil"/>
        </w:pBdr>
        <w:spacing w:line="360" w:lineRule="auto"/>
        <w:ind w:leftChars="0" w:right="594" w:firstLineChars="0"/>
        <w:jc w:val="both"/>
      </w:pPr>
      <w:r w:rsidRPr="005021EC">
        <w:rPr>
          <w:color w:val="000000"/>
        </w:rPr>
        <w:t>Avviso di addebito</w:t>
      </w:r>
      <w:r w:rsidRPr="005021EC">
        <w:rPr>
          <w:highlight w:val="yellow"/>
          <w:vertAlign w:val="superscript"/>
        </w:rPr>
        <w:footnoteReference w:id="15"/>
      </w:r>
      <w:r w:rsidRPr="005021EC">
        <w:rPr>
          <w:color w:val="000000"/>
        </w:rPr>
        <w:t>;</w:t>
      </w:r>
    </w:p>
    <w:p w14:paraId="00000042" w14:textId="77777777" w:rsidR="009F2746" w:rsidRDefault="00156262" w:rsidP="005021EC">
      <w:pPr>
        <w:pStyle w:val="Paragrafoelenco"/>
        <w:numPr>
          <w:ilvl w:val="0"/>
          <w:numId w:val="2"/>
        </w:numPr>
        <w:pBdr>
          <w:top w:val="nil"/>
          <w:left w:val="nil"/>
          <w:bottom w:val="nil"/>
          <w:right w:val="nil"/>
          <w:between w:val="nil"/>
        </w:pBdr>
        <w:spacing w:line="360" w:lineRule="auto"/>
        <w:ind w:leftChars="0" w:right="594" w:firstLineChars="0"/>
        <w:jc w:val="both"/>
      </w:pPr>
      <w:r w:rsidRPr="005021EC">
        <w:rPr>
          <w:color w:val="000000"/>
        </w:rPr>
        <w:t>avviso di avvio del procedimento sanzionatorio</w:t>
      </w:r>
      <w:r w:rsidRPr="005021EC">
        <w:rPr>
          <w:highlight w:val="yellow"/>
          <w:vertAlign w:val="superscript"/>
        </w:rPr>
        <w:footnoteReference w:id="16"/>
      </w:r>
      <w:r w:rsidRPr="005021EC">
        <w:rPr>
          <w:highlight w:val="yellow"/>
        </w:rPr>
        <w:t>;</w:t>
      </w:r>
    </w:p>
    <w:p w14:paraId="00000043" w14:textId="77777777" w:rsidR="009F2746" w:rsidRDefault="00156262" w:rsidP="005021EC">
      <w:pPr>
        <w:pStyle w:val="Paragrafoelenco"/>
        <w:numPr>
          <w:ilvl w:val="0"/>
          <w:numId w:val="2"/>
        </w:numPr>
        <w:pBdr>
          <w:top w:val="nil"/>
          <w:left w:val="nil"/>
          <w:bottom w:val="nil"/>
          <w:right w:val="nil"/>
          <w:between w:val="nil"/>
        </w:pBdr>
        <w:spacing w:line="360" w:lineRule="auto"/>
        <w:ind w:leftChars="0" w:right="594" w:firstLineChars="0"/>
        <w:jc w:val="both"/>
      </w:pPr>
      <w:r w:rsidRPr="005021EC">
        <w:rPr>
          <w:color w:val="000000"/>
        </w:rPr>
        <w:t>lettera di risposta all’avvio del procedimento</w:t>
      </w:r>
      <w:r w:rsidRPr="005021EC">
        <w:rPr>
          <w:highlight w:val="yellow"/>
          <w:vertAlign w:val="superscript"/>
        </w:rPr>
        <w:footnoteReference w:id="17"/>
      </w:r>
      <w:r w:rsidRPr="005021EC">
        <w:rPr>
          <w:highlight w:val="yellow"/>
        </w:rPr>
        <w:t>;</w:t>
      </w:r>
    </w:p>
    <w:p w14:paraId="00000044" w14:textId="77777777" w:rsidR="009F2746" w:rsidRDefault="00156262" w:rsidP="005021EC">
      <w:pPr>
        <w:pStyle w:val="Paragrafoelenco"/>
        <w:numPr>
          <w:ilvl w:val="0"/>
          <w:numId w:val="2"/>
        </w:numPr>
        <w:pBdr>
          <w:top w:val="nil"/>
          <w:left w:val="nil"/>
          <w:bottom w:val="nil"/>
          <w:right w:val="nil"/>
          <w:between w:val="nil"/>
        </w:pBdr>
        <w:spacing w:line="360" w:lineRule="auto"/>
        <w:ind w:leftChars="0" w:right="594" w:firstLineChars="0"/>
        <w:jc w:val="both"/>
      </w:pPr>
      <w:r w:rsidRPr="005021EC">
        <w:rPr>
          <w:color w:val="000000"/>
        </w:rPr>
        <w:t>certificato di guarigione</w:t>
      </w:r>
      <w:r>
        <w:t xml:space="preserve"> o</w:t>
      </w:r>
      <w:r w:rsidRPr="005021EC">
        <w:rPr>
          <w:color w:val="000000"/>
        </w:rPr>
        <w:t xml:space="preserve"> certificazione verde</w:t>
      </w:r>
      <w:r>
        <w:t xml:space="preserve"> ovvero</w:t>
      </w:r>
      <w:r w:rsidRPr="005021EC">
        <w:rPr>
          <w:color w:val="000000"/>
        </w:rPr>
        <w:t xml:space="preserve"> referto del sangue analisi anticorpi IgG</w:t>
      </w:r>
      <w:r w:rsidRPr="005021EC">
        <w:rPr>
          <w:highlight w:val="yellow"/>
          <w:vertAlign w:val="superscript"/>
        </w:rPr>
        <w:footnoteReference w:id="18"/>
      </w:r>
      <w:r w:rsidRPr="005021EC">
        <w:rPr>
          <w:highlight w:val="yellow"/>
        </w:rPr>
        <w:t>;</w:t>
      </w:r>
    </w:p>
    <w:p w14:paraId="00000045" w14:textId="194A91B4" w:rsidR="009F2746" w:rsidRDefault="00156262" w:rsidP="005021EC">
      <w:pPr>
        <w:pStyle w:val="Paragrafoelenco"/>
        <w:numPr>
          <w:ilvl w:val="0"/>
          <w:numId w:val="2"/>
        </w:numPr>
        <w:pBdr>
          <w:top w:val="nil"/>
          <w:left w:val="nil"/>
          <w:bottom w:val="nil"/>
          <w:right w:val="nil"/>
          <w:between w:val="nil"/>
        </w:pBdr>
        <w:spacing w:line="360" w:lineRule="auto"/>
        <w:ind w:leftChars="0" w:right="594" w:firstLineChars="0"/>
        <w:jc w:val="both"/>
      </w:pPr>
      <w:r w:rsidRPr="005021EC">
        <w:rPr>
          <w:color w:val="000000"/>
        </w:rPr>
        <w:t>ISEE</w:t>
      </w:r>
      <w:r w:rsidRPr="005021EC">
        <w:rPr>
          <w:highlight w:val="yellow"/>
          <w:vertAlign w:val="superscript"/>
        </w:rPr>
        <w:footnoteReference w:id="19"/>
      </w:r>
      <w:r w:rsidRPr="005021EC">
        <w:rPr>
          <w:highlight w:val="yellow"/>
        </w:rPr>
        <w:t>;</w:t>
      </w:r>
    </w:p>
    <w:p w14:paraId="00000046" w14:textId="77777777" w:rsidR="009F2746" w:rsidRDefault="00156262" w:rsidP="005021EC">
      <w:pPr>
        <w:pStyle w:val="Paragrafoelenco"/>
        <w:numPr>
          <w:ilvl w:val="0"/>
          <w:numId w:val="2"/>
        </w:numPr>
        <w:pBdr>
          <w:top w:val="nil"/>
          <w:left w:val="nil"/>
          <w:bottom w:val="nil"/>
          <w:right w:val="nil"/>
          <w:between w:val="nil"/>
        </w:pBdr>
        <w:spacing w:line="360" w:lineRule="auto"/>
        <w:ind w:leftChars="0" w:right="594" w:firstLineChars="0"/>
        <w:jc w:val="both"/>
      </w:pPr>
      <w:r w:rsidRPr="005021EC">
        <w:rPr>
          <w:color w:val="000000"/>
        </w:rPr>
        <w:t>Report Aifa del 26/09/2022</w:t>
      </w:r>
      <w:r>
        <w:t>;</w:t>
      </w:r>
    </w:p>
    <w:p w14:paraId="00000047" w14:textId="60B26B64" w:rsidR="009F2746" w:rsidRDefault="00156262" w:rsidP="005021EC">
      <w:pPr>
        <w:pStyle w:val="Paragrafoelenco"/>
        <w:numPr>
          <w:ilvl w:val="0"/>
          <w:numId w:val="2"/>
        </w:numPr>
        <w:pBdr>
          <w:top w:val="nil"/>
          <w:left w:val="nil"/>
          <w:bottom w:val="nil"/>
          <w:right w:val="nil"/>
          <w:between w:val="nil"/>
        </w:pBdr>
        <w:spacing w:line="360" w:lineRule="auto"/>
        <w:ind w:leftChars="0" w:right="594" w:firstLineChars="0"/>
        <w:jc w:val="both"/>
      </w:pPr>
      <w:bookmarkStart w:id="10" w:name="_Hlk130925174"/>
      <w:r w:rsidRPr="005021EC">
        <w:rPr>
          <w:color w:val="000000"/>
        </w:rPr>
        <w:t xml:space="preserve">Giudice di Pace di Chiavari </w:t>
      </w:r>
      <w:proofErr w:type="spellStart"/>
      <w:r>
        <w:t>sent</w:t>
      </w:r>
      <w:proofErr w:type="spellEnd"/>
      <w:r>
        <w:t xml:space="preserve">. </w:t>
      </w:r>
      <w:r w:rsidRPr="005021EC">
        <w:rPr>
          <w:color w:val="000000"/>
        </w:rPr>
        <w:t>n.312 del 27/10/202</w:t>
      </w:r>
      <w:r>
        <w:t>2</w:t>
      </w:r>
      <w:bookmarkEnd w:id="10"/>
      <w:r w:rsidR="005021EC">
        <w:t>;</w:t>
      </w:r>
    </w:p>
    <w:p w14:paraId="37CED589" w14:textId="2C67515F" w:rsidR="005021EC" w:rsidRDefault="005021EC" w:rsidP="005021EC">
      <w:pPr>
        <w:pStyle w:val="Paragrafoelenco"/>
        <w:numPr>
          <w:ilvl w:val="0"/>
          <w:numId w:val="2"/>
        </w:numPr>
        <w:pBdr>
          <w:top w:val="nil"/>
          <w:left w:val="nil"/>
          <w:bottom w:val="nil"/>
          <w:right w:val="nil"/>
          <w:between w:val="nil"/>
        </w:pBdr>
        <w:spacing w:line="360" w:lineRule="auto"/>
        <w:ind w:leftChars="0" w:right="594" w:firstLineChars="0"/>
        <w:jc w:val="both"/>
      </w:pPr>
      <w:r>
        <w:t>Studi ed evidenze scientifiche su immunità naturale</w:t>
      </w:r>
      <w:r w:rsidR="00EF4909">
        <w:rPr>
          <w:rStyle w:val="Rimandonotaapidipagina"/>
        </w:rPr>
        <w:footnoteReference w:id="20"/>
      </w:r>
      <w:r w:rsidR="006C0694">
        <w:t>;</w:t>
      </w:r>
    </w:p>
    <w:p w14:paraId="272C3977" w14:textId="6834DDC1" w:rsidR="006C0694" w:rsidRDefault="006C0694" w:rsidP="005021EC">
      <w:pPr>
        <w:pStyle w:val="Paragrafoelenco"/>
        <w:numPr>
          <w:ilvl w:val="0"/>
          <w:numId w:val="2"/>
        </w:numPr>
        <w:pBdr>
          <w:top w:val="nil"/>
          <w:left w:val="nil"/>
          <w:bottom w:val="nil"/>
          <w:right w:val="nil"/>
          <w:between w:val="nil"/>
        </w:pBdr>
        <w:spacing w:line="360" w:lineRule="auto"/>
        <w:ind w:leftChars="0" w:right="594" w:firstLineChars="0"/>
        <w:jc w:val="both"/>
      </w:pPr>
      <w:r w:rsidRPr="006C0694">
        <w:t xml:space="preserve">Giudice di Pace di </w:t>
      </w:r>
      <w:r>
        <w:t>Velletri</w:t>
      </w:r>
      <w:r w:rsidRPr="006C0694">
        <w:t xml:space="preserve"> </w:t>
      </w:r>
      <w:proofErr w:type="spellStart"/>
      <w:r w:rsidRPr="006C0694">
        <w:t>sent</w:t>
      </w:r>
      <w:proofErr w:type="spellEnd"/>
      <w:r w:rsidRPr="006C0694">
        <w:t>. n.</w:t>
      </w:r>
      <w:r>
        <w:t>7</w:t>
      </w:r>
      <w:r w:rsidR="00E50BDE">
        <w:t>21</w:t>
      </w:r>
      <w:r w:rsidRPr="006C0694">
        <w:t xml:space="preserve"> del </w:t>
      </w:r>
      <w:r>
        <w:t>21</w:t>
      </w:r>
      <w:r w:rsidRPr="006C0694">
        <w:t>/</w:t>
      </w:r>
      <w:r>
        <w:t>03</w:t>
      </w:r>
      <w:r w:rsidRPr="006C0694">
        <w:t>/202</w:t>
      </w:r>
      <w:r>
        <w:t>3.</w:t>
      </w:r>
    </w:p>
    <w:p w14:paraId="00000048" w14:textId="77777777" w:rsidR="009F2746" w:rsidRDefault="00156262">
      <w:pPr>
        <w:pBdr>
          <w:top w:val="nil"/>
          <w:left w:val="nil"/>
          <w:bottom w:val="nil"/>
          <w:right w:val="nil"/>
          <w:between w:val="nil"/>
        </w:pBdr>
        <w:spacing w:line="360" w:lineRule="auto"/>
        <w:ind w:left="0" w:right="594" w:hanging="2"/>
        <w:jc w:val="both"/>
        <w:rPr>
          <w:color w:val="000000"/>
        </w:rPr>
      </w:pPr>
      <w:r>
        <w:t>C</w:t>
      </w:r>
      <w:r>
        <w:rPr>
          <w:color w:val="000000"/>
        </w:rPr>
        <w:t>on riserva di deposito di ulteriore documentazione.</w:t>
      </w:r>
    </w:p>
    <w:p w14:paraId="00000049" w14:textId="0A977630" w:rsidR="009F2746" w:rsidRDefault="00156262">
      <w:pPr>
        <w:pBdr>
          <w:top w:val="nil"/>
          <w:left w:val="nil"/>
          <w:bottom w:val="nil"/>
          <w:right w:val="nil"/>
          <w:between w:val="nil"/>
        </w:pBdr>
        <w:spacing w:line="360" w:lineRule="auto"/>
        <w:ind w:left="0" w:right="594" w:hanging="2"/>
        <w:jc w:val="both"/>
        <w:rPr>
          <w:color w:val="1F497D"/>
          <w:sz w:val="22"/>
          <w:szCs w:val="22"/>
        </w:rPr>
      </w:pPr>
      <w:r>
        <w:rPr>
          <w:color w:val="000000"/>
          <w:sz w:val="22"/>
          <w:szCs w:val="22"/>
        </w:rPr>
        <w:t xml:space="preserve">Ai fini del pagamento del contributo unificato si dichiara che il presente procedimento </w:t>
      </w:r>
      <w:r w:rsidR="00EF4909">
        <w:rPr>
          <w:color w:val="000000"/>
          <w:sz w:val="22"/>
          <w:szCs w:val="22"/>
        </w:rPr>
        <w:t>ha valore inferiore a €</w:t>
      </w:r>
      <w:r w:rsidR="00EF4909">
        <w:rPr>
          <w:sz w:val="22"/>
          <w:szCs w:val="22"/>
        </w:rPr>
        <w:t xml:space="preserve"> </w:t>
      </w:r>
      <w:r w:rsidR="00EF4909">
        <w:rPr>
          <w:color w:val="000000"/>
          <w:sz w:val="22"/>
          <w:szCs w:val="22"/>
        </w:rPr>
        <w:t>1.033,00</w:t>
      </w:r>
      <w:r w:rsidR="007F5199">
        <w:rPr>
          <w:color w:val="000000"/>
          <w:sz w:val="22"/>
          <w:szCs w:val="22"/>
        </w:rPr>
        <w:t xml:space="preserve"> per un contributo pari ad €. 43,00 con</w:t>
      </w:r>
      <w:r>
        <w:rPr>
          <w:color w:val="000000"/>
          <w:sz w:val="22"/>
          <w:szCs w:val="22"/>
        </w:rPr>
        <w:t xml:space="preserve"> esen</w:t>
      </w:r>
      <w:r w:rsidR="007F5199">
        <w:rPr>
          <w:color w:val="000000"/>
          <w:sz w:val="22"/>
          <w:szCs w:val="22"/>
        </w:rPr>
        <w:t>zione</w:t>
      </w:r>
      <w:r w:rsidR="00EF4909">
        <w:rPr>
          <w:color w:val="000000"/>
          <w:sz w:val="22"/>
          <w:szCs w:val="22"/>
        </w:rPr>
        <w:t xml:space="preserve"> d</w:t>
      </w:r>
      <w:r w:rsidR="007F5199">
        <w:rPr>
          <w:color w:val="000000"/>
          <w:sz w:val="22"/>
          <w:szCs w:val="22"/>
        </w:rPr>
        <w:t>el pagamento de</w:t>
      </w:r>
      <w:r w:rsidR="00EF4909">
        <w:rPr>
          <w:color w:val="000000"/>
          <w:sz w:val="22"/>
          <w:szCs w:val="22"/>
        </w:rPr>
        <w:t>i diritti di segreteria</w:t>
      </w:r>
      <w:r>
        <w:rPr>
          <w:color w:val="1F497D"/>
          <w:sz w:val="22"/>
          <w:szCs w:val="22"/>
        </w:rPr>
        <w:t>.</w:t>
      </w:r>
    </w:p>
    <w:p w14:paraId="0000004A" w14:textId="5F83A286" w:rsidR="009F2746" w:rsidRDefault="007F5199">
      <w:pPr>
        <w:pBdr>
          <w:top w:val="nil"/>
          <w:left w:val="nil"/>
          <w:bottom w:val="nil"/>
          <w:right w:val="nil"/>
          <w:between w:val="nil"/>
        </w:pBdr>
        <w:spacing w:line="360" w:lineRule="auto"/>
        <w:ind w:left="0" w:right="594" w:hanging="2"/>
        <w:jc w:val="both"/>
        <w:rPr>
          <w:color w:val="000000"/>
        </w:rPr>
      </w:pPr>
      <w:r>
        <w:rPr>
          <w:color w:val="000000"/>
        </w:rPr>
        <w:t>Si d</w:t>
      </w:r>
      <w:r w:rsidR="00156262">
        <w:rPr>
          <w:color w:val="000000"/>
        </w:rPr>
        <w:t>ichiara, altresì, di voler ricevere gli avvisi e le comunicazioni di cui agli artt. 133, comma 3, 134, comma 3 e 176, comma 2 c.p.c. a mezzo fax al n</w:t>
      </w:r>
      <w:r w:rsidR="00156262" w:rsidRPr="00EF4909">
        <w:rPr>
          <w:color w:val="000000"/>
          <w:highlight w:val="yellow"/>
        </w:rPr>
        <w:t>._________</w:t>
      </w:r>
      <w:r w:rsidR="00156262">
        <w:rPr>
          <w:color w:val="000000"/>
        </w:rPr>
        <w:t xml:space="preserve"> </w:t>
      </w:r>
      <w:r w:rsidR="00156262">
        <w:rPr>
          <w:i/>
          <w:color w:val="000000"/>
        </w:rPr>
        <w:t xml:space="preserve">o all'indirizzo </w:t>
      </w:r>
      <w:r w:rsidR="00884A09">
        <w:rPr>
          <w:i/>
          <w:color w:val="000000"/>
        </w:rPr>
        <w:t xml:space="preserve">mail </w:t>
      </w:r>
      <w:r w:rsidR="00884A09" w:rsidRPr="00884A09">
        <w:rPr>
          <w:i/>
          <w:color w:val="000000"/>
          <w:highlight w:val="yellow"/>
        </w:rPr>
        <w:t>_______</w:t>
      </w:r>
      <w:r w:rsidR="00884A09">
        <w:rPr>
          <w:i/>
          <w:color w:val="000000"/>
        </w:rPr>
        <w:t xml:space="preserve"> o </w:t>
      </w:r>
      <w:r w:rsidR="00156262">
        <w:rPr>
          <w:i/>
          <w:color w:val="000000"/>
        </w:rPr>
        <w:t>di posta elettronica certificata _</w:t>
      </w:r>
      <w:r w:rsidR="00156262" w:rsidRPr="00EF4909">
        <w:rPr>
          <w:i/>
          <w:color w:val="000000"/>
          <w:highlight w:val="yellow"/>
        </w:rPr>
        <w:t>___________</w:t>
      </w:r>
      <w:r w:rsidR="00156262">
        <w:rPr>
          <w:i/>
          <w:color w:val="000000"/>
        </w:rPr>
        <w:t>.</w:t>
      </w:r>
      <w:r w:rsidR="00156262">
        <w:rPr>
          <w:i/>
          <w:color w:val="000000"/>
          <w:vertAlign w:val="superscript"/>
        </w:rPr>
        <w:footnoteReference w:id="21"/>
      </w:r>
    </w:p>
    <w:p w14:paraId="0000004B" w14:textId="77777777" w:rsidR="009F2746" w:rsidRDefault="00156262">
      <w:pPr>
        <w:pBdr>
          <w:top w:val="nil"/>
          <w:left w:val="nil"/>
          <w:bottom w:val="nil"/>
          <w:right w:val="nil"/>
          <w:between w:val="nil"/>
        </w:pBdr>
        <w:spacing w:line="360" w:lineRule="auto"/>
        <w:ind w:left="0" w:right="594" w:hanging="2"/>
        <w:jc w:val="both"/>
        <w:rPr>
          <w:color w:val="000000"/>
        </w:rPr>
      </w:pPr>
      <w:r>
        <w:rPr>
          <w:color w:val="000000"/>
        </w:rPr>
        <w:t>Salvezze illimitate.</w:t>
      </w:r>
    </w:p>
    <w:p w14:paraId="0000004C" w14:textId="77777777" w:rsidR="009F2746" w:rsidRDefault="00156262">
      <w:pPr>
        <w:pBdr>
          <w:top w:val="nil"/>
          <w:left w:val="nil"/>
          <w:bottom w:val="nil"/>
          <w:right w:val="nil"/>
          <w:between w:val="nil"/>
        </w:pBdr>
        <w:spacing w:line="360" w:lineRule="auto"/>
        <w:ind w:left="0" w:right="594" w:hanging="2"/>
        <w:jc w:val="both"/>
        <w:rPr>
          <w:color w:val="000000"/>
        </w:rPr>
      </w:pPr>
      <w:r>
        <w:rPr>
          <w:color w:val="000000"/>
        </w:rPr>
        <w:t>Con osservanza</w:t>
      </w:r>
    </w:p>
    <w:p w14:paraId="0000004D" w14:textId="77777777" w:rsidR="009F2746" w:rsidRDefault="00156262">
      <w:pPr>
        <w:pBdr>
          <w:top w:val="nil"/>
          <w:left w:val="nil"/>
          <w:bottom w:val="nil"/>
          <w:right w:val="nil"/>
          <w:between w:val="nil"/>
        </w:pBdr>
        <w:spacing w:line="360" w:lineRule="auto"/>
        <w:ind w:left="0" w:right="594" w:hanging="2"/>
        <w:jc w:val="both"/>
        <w:rPr>
          <w:color w:val="000000"/>
        </w:rPr>
      </w:pPr>
      <w:r>
        <w:rPr>
          <w:color w:val="000000"/>
        </w:rPr>
        <w:t xml:space="preserve">Lì, </w:t>
      </w:r>
      <w:r w:rsidRPr="00EF4909">
        <w:rPr>
          <w:color w:val="000000"/>
          <w:highlight w:val="yellow"/>
        </w:rPr>
        <w:t>_____________.</w:t>
      </w:r>
      <w:r>
        <w:rPr>
          <w:color w:val="000000"/>
        </w:rPr>
        <w:tab/>
      </w:r>
      <w:r>
        <w:rPr>
          <w:color w:val="000000"/>
        </w:rPr>
        <w:tab/>
      </w:r>
      <w:r>
        <w:rPr>
          <w:color w:val="000000"/>
        </w:rPr>
        <w:tab/>
      </w:r>
    </w:p>
    <w:p w14:paraId="0000004E" w14:textId="77777777" w:rsidR="009F2746" w:rsidRDefault="00156262" w:rsidP="00EF4909">
      <w:pPr>
        <w:pBdr>
          <w:top w:val="nil"/>
          <w:left w:val="nil"/>
          <w:bottom w:val="nil"/>
          <w:right w:val="nil"/>
          <w:between w:val="nil"/>
        </w:pBdr>
        <w:spacing w:line="360" w:lineRule="auto"/>
        <w:ind w:left="0" w:right="594" w:hanging="2"/>
        <w:jc w:val="right"/>
        <w:rPr>
          <w:color w:val="000000"/>
        </w:rPr>
      </w:pPr>
      <w:r w:rsidRPr="00EF4909">
        <w:rPr>
          <w:color w:val="000000"/>
          <w:highlight w:val="yellow"/>
        </w:rPr>
        <w:t>Firma</w:t>
      </w:r>
    </w:p>
    <w:p w14:paraId="0000004F" w14:textId="77777777" w:rsidR="009F2746" w:rsidRDefault="009F2746">
      <w:pPr>
        <w:pBdr>
          <w:top w:val="nil"/>
          <w:left w:val="nil"/>
          <w:bottom w:val="nil"/>
          <w:right w:val="nil"/>
          <w:between w:val="nil"/>
        </w:pBdr>
        <w:spacing w:line="360" w:lineRule="auto"/>
        <w:ind w:left="0" w:right="594" w:hanging="2"/>
        <w:jc w:val="both"/>
        <w:rPr>
          <w:color w:val="000000"/>
        </w:rPr>
      </w:pPr>
    </w:p>
    <w:sectPr w:rsidR="009F2746">
      <w:footerReference w:type="even" r:id="rId10"/>
      <w:footerReference w:type="default" r:id="rId11"/>
      <w:pgSz w:w="11906" w:h="16838"/>
      <w:pgMar w:top="1418" w:right="1416" w:bottom="1418"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492C01A" w14:textId="77777777" w:rsidR="002F32D1" w:rsidRDefault="002F32D1">
      <w:pPr>
        <w:spacing w:line="240" w:lineRule="auto"/>
        <w:ind w:left="0" w:hanging="2"/>
      </w:pPr>
      <w:r>
        <w:separator/>
      </w:r>
    </w:p>
  </w:endnote>
  <w:endnote w:type="continuationSeparator" w:id="0">
    <w:p w14:paraId="24A39436" w14:textId="77777777" w:rsidR="002F32D1" w:rsidRDefault="002F32D1">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mnesty Trade Gothic">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F" w14:textId="77777777" w:rsidR="009F2746" w:rsidRDefault="00156262">
    <w:pPr>
      <w:pBdr>
        <w:top w:val="nil"/>
        <w:left w:val="nil"/>
        <w:bottom w:val="nil"/>
        <w:right w:val="nil"/>
        <w:between w:val="nil"/>
      </w:pBdr>
      <w:tabs>
        <w:tab w:val="center" w:pos="4819"/>
        <w:tab w:val="right" w:pos="9638"/>
      </w:tabs>
      <w:spacing w:line="240" w:lineRule="auto"/>
      <w:ind w:left="0" w:hanging="2"/>
      <w:jc w:val="right"/>
      <w:rPr>
        <w:color w:val="000000"/>
      </w:rPr>
    </w:pPr>
    <w:r>
      <w:rPr>
        <w:color w:val="000000"/>
      </w:rPr>
      <w:fldChar w:fldCharType="begin"/>
    </w:r>
    <w:r>
      <w:rPr>
        <w:color w:val="000000"/>
      </w:rPr>
      <w:instrText>PAGE</w:instrText>
    </w:r>
    <w:r>
      <w:rPr>
        <w:color w:val="000000"/>
      </w:rPr>
      <w:fldChar w:fldCharType="end"/>
    </w:r>
  </w:p>
  <w:p w14:paraId="00000060" w14:textId="77777777" w:rsidR="009F2746" w:rsidRDefault="009F2746">
    <w:pPr>
      <w:pBdr>
        <w:top w:val="nil"/>
        <w:left w:val="nil"/>
        <w:bottom w:val="nil"/>
        <w:right w:val="nil"/>
        <w:between w:val="nil"/>
      </w:pBdr>
      <w:tabs>
        <w:tab w:val="center" w:pos="4819"/>
        <w:tab w:val="right" w:pos="9638"/>
      </w:tabs>
      <w:spacing w:line="240" w:lineRule="auto"/>
      <w:ind w:left="0" w:right="36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5D" w14:textId="769DA5EF" w:rsidR="009F2746" w:rsidRDefault="00156262">
    <w:pPr>
      <w:pBdr>
        <w:top w:val="nil"/>
        <w:left w:val="nil"/>
        <w:bottom w:val="nil"/>
        <w:right w:val="nil"/>
        <w:between w:val="nil"/>
      </w:pBdr>
      <w:tabs>
        <w:tab w:val="center" w:pos="4819"/>
        <w:tab w:val="right" w:pos="9638"/>
      </w:tabs>
      <w:spacing w:line="240" w:lineRule="auto"/>
      <w:ind w:left="0" w:hanging="2"/>
      <w:jc w:val="center"/>
      <w:rPr>
        <w:color w:val="000000"/>
      </w:rPr>
    </w:pPr>
    <w:r>
      <w:rPr>
        <w:color w:val="000000"/>
      </w:rPr>
      <w:fldChar w:fldCharType="begin"/>
    </w:r>
    <w:r>
      <w:rPr>
        <w:color w:val="000000"/>
      </w:rPr>
      <w:instrText>PAGE</w:instrText>
    </w:r>
    <w:r>
      <w:rPr>
        <w:color w:val="000000"/>
      </w:rPr>
      <w:fldChar w:fldCharType="separate"/>
    </w:r>
    <w:r w:rsidR="00D54EBD">
      <w:rPr>
        <w:noProof/>
        <w:color w:val="000000"/>
      </w:rPr>
      <w:t>1</w:t>
    </w:r>
    <w:r>
      <w:rPr>
        <w:color w:val="000000"/>
      </w:rPr>
      <w:fldChar w:fldCharType="end"/>
    </w:r>
  </w:p>
  <w:p w14:paraId="0000005E" w14:textId="77777777" w:rsidR="009F2746" w:rsidRDefault="009F2746">
    <w:pPr>
      <w:pBdr>
        <w:top w:val="nil"/>
        <w:left w:val="nil"/>
        <w:bottom w:val="nil"/>
        <w:right w:val="nil"/>
        <w:between w:val="nil"/>
      </w:pBdr>
      <w:tabs>
        <w:tab w:val="center" w:pos="4819"/>
        <w:tab w:val="right" w:pos="9638"/>
      </w:tabs>
      <w:spacing w:line="240" w:lineRule="auto"/>
      <w:ind w:left="0" w:right="36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328929" w14:textId="77777777" w:rsidR="002F32D1" w:rsidRDefault="002F32D1">
      <w:pPr>
        <w:spacing w:line="240" w:lineRule="auto"/>
        <w:ind w:left="0" w:hanging="2"/>
      </w:pPr>
      <w:r>
        <w:separator/>
      </w:r>
    </w:p>
  </w:footnote>
  <w:footnote w:type="continuationSeparator" w:id="0">
    <w:p w14:paraId="57AFB3CE" w14:textId="77777777" w:rsidR="002F32D1" w:rsidRDefault="002F32D1">
      <w:pPr>
        <w:spacing w:line="240" w:lineRule="auto"/>
        <w:ind w:left="0" w:hanging="2"/>
      </w:pPr>
      <w:r>
        <w:continuationSeparator/>
      </w:r>
    </w:p>
  </w:footnote>
  <w:footnote w:id="1">
    <w:p w14:paraId="00000050" w14:textId="5287372E" w:rsidR="009F2746" w:rsidRDefault="00156262">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L’Ufficio del Giudice di Pace competente è quello del luogo dove ha sede l’Agenzia delle Entrate-Riscossione che ha inviato l’avviso di addebito. </w:t>
      </w:r>
      <w:r w:rsidR="003F5272">
        <w:rPr>
          <w:color w:val="000000"/>
          <w:sz w:val="20"/>
          <w:szCs w:val="20"/>
        </w:rPr>
        <w:t>V</w:t>
      </w:r>
      <w:r>
        <w:rPr>
          <w:color w:val="000000"/>
          <w:sz w:val="20"/>
          <w:szCs w:val="20"/>
        </w:rPr>
        <w:t xml:space="preserve">erificare l’Ente indicato in alto a destra nell’intestazione dell’avviso. </w:t>
      </w:r>
    </w:p>
    <w:p w14:paraId="0AEE53C0" w14:textId="77777777" w:rsidR="003F7401" w:rsidRDefault="003F7401">
      <w:pPr>
        <w:pBdr>
          <w:top w:val="nil"/>
          <w:left w:val="nil"/>
          <w:bottom w:val="nil"/>
          <w:right w:val="nil"/>
          <w:between w:val="nil"/>
        </w:pBdr>
        <w:spacing w:line="240" w:lineRule="auto"/>
        <w:ind w:left="0" w:hanging="2"/>
        <w:rPr>
          <w:color w:val="000000"/>
          <w:sz w:val="20"/>
          <w:szCs w:val="20"/>
        </w:rPr>
      </w:pPr>
    </w:p>
  </w:footnote>
  <w:footnote w:id="2">
    <w:p w14:paraId="00000051" w14:textId="740FB1D5" w:rsidR="009F2746" w:rsidRDefault="00156262">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Il numero dell’avviso si legge nella fascetta azzurra subito dopo l’indirizzo del destinatario.</w:t>
      </w:r>
    </w:p>
    <w:p w14:paraId="1926245A" w14:textId="77777777" w:rsidR="003F7401" w:rsidRDefault="003F7401">
      <w:pPr>
        <w:pBdr>
          <w:top w:val="nil"/>
          <w:left w:val="nil"/>
          <w:bottom w:val="nil"/>
          <w:right w:val="nil"/>
          <w:between w:val="nil"/>
        </w:pBdr>
        <w:spacing w:line="240" w:lineRule="auto"/>
        <w:ind w:left="0" w:hanging="2"/>
        <w:rPr>
          <w:color w:val="000000"/>
          <w:sz w:val="20"/>
          <w:szCs w:val="20"/>
        </w:rPr>
      </w:pPr>
    </w:p>
  </w:footnote>
  <w:footnote w:id="3">
    <w:p w14:paraId="00000052" w14:textId="674D60CB" w:rsidR="009F2746" w:rsidRDefault="00156262">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Indicare la propria </w:t>
      </w:r>
      <w:proofErr w:type="spellStart"/>
      <w:r>
        <w:rPr>
          <w:color w:val="000000"/>
          <w:sz w:val="20"/>
          <w:szCs w:val="20"/>
        </w:rPr>
        <w:t>pec</w:t>
      </w:r>
      <w:proofErr w:type="spellEnd"/>
      <w:r>
        <w:rPr>
          <w:color w:val="000000"/>
          <w:sz w:val="20"/>
          <w:szCs w:val="20"/>
        </w:rPr>
        <w:t>, se in possesso, per evitare le notifiche nella cancelleria del Giudice di Pace.</w:t>
      </w:r>
    </w:p>
    <w:p w14:paraId="1E872C42" w14:textId="77777777" w:rsidR="003F7401" w:rsidRDefault="003F7401">
      <w:pPr>
        <w:pBdr>
          <w:top w:val="nil"/>
          <w:left w:val="nil"/>
          <w:bottom w:val="nil"/>
          <w:right w:val="nil"/>
          <w:between w:val="nil"/>
        </w:pBdr>
        <w:spacing w:line="240" w:lineRule="auto"/>
        <w:ind w:left="0" w:hanging="2"/>
        <w:rPr>
          <w:color w:val="000000"/>
          <w:sz w:val="20"/>
          <w:szCs w:val="20"/>
        </w:rPr>
      </w:pPr>
    </w:p>
  </w:footnote>
  <w:footnote w:id="4">
    <w:p w14:paraId="63B00D2C" w14:textId="77777777" w:rsidR="003F7401" w:rsidRDefault="003F7401" w:rsidP="003F7401">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L’Agenzia delle Entrate-Riscossione è quella che ha eseguito la notifica dell’avviso di addebito e indicata in alto a destra nell’intestazione dell’avviso.</w:t>
      </w:r>
    </w:p>
    <w:p w14:paraId="73F63A8E" w14:textId="77777777" w:rsidR="003F7401" w:rsidRDefault="003F7401" w:rsidP="003F7401">
      <w:pPr>
        <w:pBdr>
          <w:top w:val="nil"/>
          <w:left w:val="nil"/>
          <w:bottom w:val="nil"/>
          <w:right w:val="nil"/>
          <w:between w:val="nil"/>
        </w:pBdr>
        <w:spacing w:line="240" w:lineRule="auto"/>
        <w:ind w:left="0" w:hanging="2"/>
        <w:rPr>
          <w:color w:val="000000"/>
          <w:sz w:val="20"/>
          <w:szCs w:val="20"/>
        </w:rPr>
      </w:pPr>
    </w:p>
  </w:footnote>
  <w:footnote w:id="5">
    <w:p w14:paraId="64A6D830" w14:textId="047A76F3" w:rsidR="003F7401" w:rsidRDefault="003F7401">
      <w:pPr>
        <w:pStyle w:val="Testonotaapidipagina"/>
        <w:ind w:left="0" w:hanging="2"/>
      </w:pPr>
      <w:r>
        <w:rPr>
          <w:rStyle w:val="Rimandonotaapidipagina"/>
        </w:rPr>
        <w:footnoteRef/>
      </w:r>
      <w:r>
        <w:t xml:space="preserve"> </w:t>
      </w:r>
      <w:bookmarkStart w:id="1" w:name="_Hlk122506052"/>
      <w:r>
        <w:t>Inserire la data di ricezione dell’avviso, la data di ritiro presso l’ufficio postale se fatta entro 10 giorni dalla notifica oppure, se ritirato successivamente i 10 giorni dalla notifica, indicare la data del 10 giorno (compiuta giacenza).</w:t>
      </w:r>
    </w:p>
    <w:bookmarkEnd w:id="1"/>
    <w:p w14:paraId="4F31D100" w14:textId="77777777" w:rsidR="003F7401" w:rsidRDefault="003F7401">
      <w:pPr>
        <w:pStyle w:val="Testonotaapidipagina"/>
        <w:ind w:left="0" w:hanging="2"/>
      </w:pPr>
    </w:p>
  </w:footnote>
  <w:footnote w:id="6">
    <w:p w14:paraId="00000054" w14:textId="7168D532" w:rsidR="009F2746" w:rsidRDefault="00156262">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Cancellare la parte che non interessa o tutto il punto se non si è ricevuto l’avviso di avvio del procedimento sanzionatorio</w:t>
      </w:r>
      <w:r w:rsidR="003F7401">
        <w:rPr>
          <w:color w:val="000000"/>
          <w:sz w:val="20"/>
          <w:szCs w:val="20"/>
        </w:rPr>
        <w:t>.</w:t>
      </w:r>
    </w:p>
    <w:p w14:paraId="5DC7C6B7" w14:textId="77777777" w:rsidR="003F7401" w:rsidRDefault="003F7401">
      <w:pPr>
        <w:pBdr>
          <w:top w:val="nil"/>
          <w:left w:val="nil"/>
          <w:bottom w:val="nil"/>
          <w:right w:val="nil"/>
          <w:between w:val="nil"/>
        </w:pBdr>
        <w:spacing w:line="240" w:lineRule="auto"/>
        <w:ind w:left="0" w:hanging="2"/>
        <w:rPr>
          <w:color w:val="000000"/>
          <w:sz w:val="20"/>
          <w:szCs w:val="20"/>
        </w:rPr>
      </w:pPr>
    </w:p>
  </w:footnote>
  <w:footnote w:id="7">
    <w:p w14:paraId="00000055" w14:textId="77777777" w:rsidR="009F2746" w:rsidRDefault="00156262">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Cancellare la parte in corsivo se si è ricevuto l’avviso di avvio del procedimento sanzionatorio dopo la data del 16/07/2022 o non si è ricevuto nessun avviso di avvio del procedimento sanzionatorio.</w:t>
      </w:r>
    </w:p>
  </w:footnote>
  <w:footnote w:id="8">
    <w:p w14:paraId="00000056" w14:textId="77777777" w:rsidR="009F2746" w:rsidRDefault="00156262">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Questo punto va omesso se la comunicazione di avvio del procedimento sanzionatorio è stata ricevuta.</w:t>
      </w:r>
    </w:p>
  </w:footnote>
  <w:footnote w:id="9">
    <w:p w14:paraId="00000057" w14:textId="0817CC2C" w:rsidR="009F2746" w:rsidRDefault="00156262">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Cancellare tutto il punto</w:t>
      </w:r>
      <w:r w:rsidR="00B60260">
        <w:rPr>
          <w:color w:val="000000"/>
          <w:sz w:val="20"/>
          <w:szCs w:val="20"/>
        </w:rPr>
        <w:t xml:space="preserve"> n.3</w:t>
      </w:r>
      <w:r>
        <w:rPr>
          <w:color w:val="000000"/>
          <w:sz w:val="20"/>
          <w:szCs w:val="20"/>
        </w:rPr>
        <w:t xml:space="preserve"> se </w:t>
      </w:r>
      <w:r w:rsidRPr="00DB067A">
        <w:rPr>
          <w:b/>
          <w:color w:val="000000"/>
          <w:sz w:val="20"/>
          <w:szCs w:val="20"/>
        </w:rPr>
        <w:t>non</w:t>
      </w:r>
      <w:r>
        <w:rPr>
          <w:color w:val="000000"/>
          <w:sz w:val="20"/>
          <w:szCs w:val="20"/>
        </w:rPr>
        <w:t xml:space="preserve"> si è mai ricevuta comunicazione di avvio del procedimento sanzionatorio </w:t>
      </w:r>
      <w:bookmarkStart w:id="7" w:name="_Hlk122507764"/>
      <w:r>
        <w:rPr>
          <w:color w:val="000000"/>
          <w:sz w:val="20"/>
          <w:szCs w:val="20"/>
        </w:rPr>
        <w:t xml:space="preserve">o se si è ricevuto l’avviso di avvio del procedimento sanzionatorio </w:t>
      </w:r>
      <w:r w:rsidR="00B60260">
        <w:rPr>
          <w:b/>
          <w:color w:val="000000"/>
          <w:sz w:val="20"/>
          <w:szCs w:val="20"/>
        </w:rPr>
        <w:t>dopo i</w:t>
      </w:r>
      <w:r>
        <w:rPr>
          <w:color w:val="000000"/>
          <w:sz w:val="20"/>
          <w:szCs w:val="20"/>
        </w:rPr>
        <w:t>l 16/07/2022</w:t>
      </w:r>
      <w:bookmarkEnd w:id="7"/>
      <w:r>
        <w:rPr>
          <w:color w:val="000000"/>
          <w:sz w:val="20"/>
          <w:szCs w:val="20"/>
        </w:rPr>
        <w:t>.</w:t>
      </w:r>
    </w:p>
    <w:p w14:paraId="05B5B3B3" w14:textId="77777777" w:rsidR="00DB067A" w:rsidRDefault="00DB067A">
      <w:pPr>
        <w:pBdr>
          <w:top w:val="nil"/>
          <w:left w:val="nil"/>
          <w:bottom w:val="nil"/>
          <w:right w:val="nil"/>
          <w:between w:val="nil"/>
        </w:pBdr>
        <w:spacing w:line="240" w:lineRule="auto"/>
        <w:ind w:left="0" w:hanging="2"/>
        <w:rPr>
          <w:color w:val="000000"/>
          <w:sz w:val="20"/>
          <w:szCs w:val="20"/>
        </w:rPr>
      </w:pPr>
    </w:p>
  </w:footnote>
  <w:footnote w:id="10">
    <w:p w14:paraId="00000066" w14:textId="4D1705C9" w:rsidR="009F2746" w:rsidRPr="00DB067A" w:rsidRDefault="00156262">
      <w:pPr>
        <w:ind w:left="0" w:hanging="2"/>
        <w:rPr>
          <w:sz w:val="20"/>
          <w:szCs w:val="20"/>
        </w:rPr>
      </w:pPr>
      <w:r>
        <w:rPr>
          <w:vertAlign w:val="superscript"/>
        </w:rPr>
        <w:footnoteRef/>
      </w:r>
      <w:r>
        <w:t xml:space="preserve"> </w:t>
      </w:r>
      <w:r w:rsidRPr="00DB067A">
        <w:rPr>
          <w:sz w:val="20"/>
          <w:szCs w:val="20"/>
        </w:rPr>
        <w:t xml:space="preserve">questo punto </w:t>
      </w:r>
      <w:r w:rsidR="00DB067A">
        <w:rPr>
          <w:sz w:val="20"/>
          <w:szCs w:val="20"/>
        </w:rPr>
        <w:t>è dedicato esclusivamente</w:t>
      </w:r>
      <w:r w:rsidRPr="00DB067A">
        <w:rPr>
          <w:sz w:val="20"/>
          <w:szCs w:val="20"/>
        </w:rPr>
        <w:t xml:space="preserve"> per coloro che non hanno contratto il Covid-19 e sono sprovvisti del GP</w:t>
      </w:r>
      <w:r w:rsidR="00DB067A">
        <w:rPr>
          <w:sz w:val="20"/>
          <w:szCs w:val="20"/>
        </w:rPr>
        <w:t xml:space="preserve"> per la scelta di non vaccinarsi</w:t>
      </w:r>
      <w:r w:rsidRPr="00DB067A">
        <w:rPr>
          <w:sz w:val="20"/>
          <w:szCs w:val="20"/>
        </w:rPr>
        <w:t>.</w:t>
      </w:r>
      <w:r w:rsidR="00DB067A">
        <w:rPr>
          <w:sz w:val="20"/>
          <w:szCs w:val="20"/>
        </w:rPr>
        <w:t xml:space="preserve"> Cancellare completamente se non si rientra in uno di questi casi</w:t>
      </w:r>
    </w:p>
  </w:footnote>
  <w:footnote w:id="11">
    <w:p w14:paraId="00000058" w14:textId="51B9D1A5" w:rsidR="009F2746" w:rsidRPr="00DB067A" w:rsidRDefault="00156262">
      <w:pPr>
        <w:pBdr>
          <w:top w:val="nil"/>
          <w:left w:val="nil"/>
          <w:bottom w:val="nil"/>
          <w:right w:val="nil"/>
          <w:between w:val="nil"/>
        </w:pBdr>
        <w:spacing w:line="240" w:lineRule="auto"/>
        <w:ind w:left="0" w:hanging="2"/>
        <w:rPr>
          <w:color w:val="000000"/>
          <w:sz w:val="20"/>
          <w:szCs w:val="20"/>
        </w:rPr>
      </w:pPr>
      <w:r w:rsidRPr="00DB067A">
        <w:rPr>
          <w:sz w:val="20"/>
          <w:szCs w:val="20"/>
          <w:vertAlign w:val="superscript"/>
        </w:rPr>
        <w:footnoteRef/>
      </w:r>
      <w:r w:rsidRPr="00DB067A">
        <w:rPr>
          <w:color w:val="000000"/>
          <w:sz w:val="20"/>
          <w:szCs w:val="20"/>
        </w:rPr>
        <w:t xml:space="preserve"> Questo punto </w:t>
      </w:r>
      <w:r w:rsidR="005021EC">
        <w:rPr>
          <w:color w:val="000000"/>
          <w:sz w:val="20"/>
          <w:szCs w:val="20"/>
        </w:rPr>
        <w:t xml:space="preserve">è destinato esclusivamente ha chi ha contratto il Covid19 ed è guarito. Esso </w:t>
      </w:r>
      <w:r w:rsidRPr="00DB067A">
        <w:rPr>
          <w:color w:val="000000"/>
          <w:sz w:val="20"/>
          <w:szCs w:val="20"/>
        </w:rPr>
        <w:t xml:space="preserve">va provato con certificato di guarigione, stampa di certificazione verde o almeno con esami del sangue che attestino la presenza di anticorpi </w:t>
      </w:r>
      <w:proofErr w:type="spellStart"/>
      <w:r w:rsidRPr="00DB067A">
        <w:rPr>
          <w:color w:val="000000"/>
          <w:sz w:val="20"/>
          <w:szCs w:val="20"/>
        </w:rPr>
        <w:t>IgG</w:t>
      </w:r>
      <w:proofErr w:type="spellEnd"/>
      <w:r w:rsidRPr="00DB067A">
        <w:rPr>
          <w:color w:val="000000"/>
          <w:sz w:val="20"/>
          <w:szCs w:val="20"/>
        </w:rPr>
        <w:t>.</w:t>
      </w:r>
      <w:r w:rsidR="005021EC">
        <w:rPr>
          <w:color w:val="000000"/>
          <w:sz w:val="20"/>
          <w:szCs w:val="20"/>
        </w:rPr>
        <w:t xml:space="preserve"> In caso non si rientri in questa casistica, cancellare l’intero punto evidenziato.</w:t>
      </w:r>
    </w:p>
  </w:footnote>
  <w:footnote w:id="12">
    <w:p w14:paraId="00000059" w14:textId="0F42E0E7" w:rsidR="009F2746" w:rsidRDefault="00156262">
      <w:pPr>
        <w:pBdr>
          <w:top w:val="nil"/>
          <w:left w:val="nil"/>
          <w:bottom w:val="nil"/>
          <w:right w:val="nil"/>
          <w:between w:val="nil"/>
        </w:pBdr>
        <w:spacing w:line="240" w:lineRule="auto"/>
        <w:ind w:left="0" w:hanging="2"/>
        <w:rPr>
          <w:color w:val="000000"/>
          <w:sz w:val="20"/>
          <w:szCs w:val="20"/>
        </w:rPr>
      </w:pPr>
      <w:r w:rsidRPr="005021EC">
        <w:rPr>
          <w:sz w:val="20"/>
          <w:szCs w:val="20"/>
          <w:vertAlign w:val="superscript"/>
        </w:rPr>
        <w:footnoteRef/>
      </w:r>
      <w:r w:rsidRPr="005021EC">
        <w:rPr>
          <w:color w:val="000000"/>
          <w:sz w:val="20"/>
          <w:szCs w:val="20"/>
        </w:rPr>
        <w:t xml:space="preserve"> Si consiglia di richiedere la sospensione soltanto se si versa in una situazione economica disagevole altrimenti cancellare il punto ISTANZA CAUTELARE.</w:t>
      </w:r>
    </w:p>
    <w:p w14:paraId="13BAAF73" w14:textId="77777777" w:rsidR="005021EC" w:rsidRPr="005021EC" w:rsidRDefault="005021EC">
      <w:pPr>
        <w:pBdr>
          <w:top w:val="nil"/>
          <w:left w:val="nil"/>
          <w:bottom w:val="nil"/>
          <w:right w:val="nil"/>
          <w:between w:val="nil"/>
        </w:pBdr>
        <w:spacing w:line="240" w:lineRule="auto"/>
        <w:ind w:left="0" w:hanging="2"/>
        <w:rPr>
          <w:color w:val="000000"/>
          <w:sz w:val="20"/>
          <w:szCs w:val="20"/>
        </w:rPr>
      </w:pPr>
    </w:p>
  </w:footnote>
  <w:footnote w:id="13">
    <w:p w14:paraId="3EFFC90F" w14:textId="7F5C2477" w:rsidR="005021EC" w:rsidRPr="005021EC" w:rsidRDefault="00156262" w:rsidP="008F3E2E">
      <w:pPr>
        <w:ind w:left="0" w:hanging="2"/>
        <w:rPr>
          <w:sz w:val="20"/>
          <w:szCs w:val="20"/>
        </w:rPr>
      </w:pPr>
      <w:r w:rsidRPr="005021EC">
        <w:rPr>
          <w:sz w:val="20"/>
          <w:szCs w:val="20"/>
          <w:vertAlign w:val="superscript"/>
        </w:rPr>
        <w:footnoteRef/>
      </w:r>
      <w:r w:rsidRPr="005021EC">
        <w:rPr>
          <w:sz w:val="20"/>
          <w:szCs w:val="20"/>
        </w:rPr>
        <w:t xml:space="preserve"> Cancellare le parti in corsivo che non interessano</w:t>
      </w:r>
      <w:r w:rsidR="008F3E2E">
        <w:rPr>
          <w:sz w:val="20"/>
          <w:szCs w:val="20"/>
        </w:rPr>
        <w:t xml:space="preserve"> o se non si produce ISEE</w:t>
      </w:r>
      <w:r w:rsidR="005021EC">
        <w:rPr>
          <w:sz w:val="20"/>
          <w:szCs w:val="20"/>
        </w:rPr>
        <w:t>.</w:t>
      </w:r>
    </w:p>
  </w:footnote>
  <w:footnote w:id="14">
    <w:p w14:paraId="0000005A" w14:textId="77777777" w:rsidR="009F2746" w:rsidRDefault="00156262">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Cancellare le parti in corsivo che non interessano</w:t>
      </w:r>
    </w:p>
  </w:footnote>
  <w:footnote w:id="15">
    <w:p w14:paraId="00000061" w14:textId="0E0901D1" w:rsidR="009F2746" w:rsidRPr="005021EC" w:rsidRDefault="00156262">
      <w:pPr>
        <w:ind w:left="0" w:hanging="2"/>
        <w:rPr>
          <w:sz w:val="20"/>
          <w:szCs w:val="20"/>
        </w:rPr>
      </w:pPr>
      <w:r w:rsidRPr="005021EC">
        <w:rPr>
          <w:sz w:val="20"/>
          <w:szCs w:val="20"/>
          <w:vertAlign w:val="superscript"/>
        </w:rPr>
        <w:footnoteRef/>
      </w:r>
      <w:r w:rsidRPr="005021EC">
        <w:rPr>
          <w:sz w:val="20"/>
          <w:szCs w:val="20"/>
        </w:rPr>
        <w:t xml:space="preserve"> obbligat</w:t>
      </w:r>
      <w:r w:rsidR="00884A09">
        <w:rPr>
          <w:sz w:val="20"/>
          <w:szCs w:val="20"/>
        </w:rPr>
        <w:t>o</w:t>
      </w:r>
      <w:r w:rsidRPr="005021EC">
        <w:rPr>
          <w:sz w:val="20"/>
          <w:szCs w:val="20"/>
        </w:rPr>
        <w:t>rio</w:t>
      </w:r>
    </w:p>
  </w:footnote>
  <w:footnote w:id="16">
    <w:p w14:paraId="00000064" w14:textId="77777777" w:rsidR="009F2746" w:rsidRPr="005021EC" w:rsidRDefault="00156262">
      <w:pPr>
        <w:ind w:left="0" w:hanging="2"/>
        <w:rPr>
          <w:sz w:val="20"/>
          <w:szCs w:val="20"/>
        </w:rPr>
      </w:pPr>
      <w:r w:rsidRPr="005021EC">
        <w:rPr>
          <w:sz w:val="20"/>
          <w:szCs w:val="20"/>
          <w:vertAlign w:val="superscript"/>
        </w:rPr>
        <w:footnoteRef/>
      </w:r>
      <w:r w:rsidRPr="005021EC">
        <w:rPr>
          <w:sz w:val="20"/>
          <w:szCs w:val="20"/>
        </w:rPr>
        <w:t xml:space="preserve"> se ricevuto, altrimenti cancellare</w:t>
      </w:r>
    </w:p>
  </w:footnote>
  <w:footnote w:id="17">
    <w:p w14:paraId="00000062" w14:textId="77777777" w:rsidR="009F2746" w:rsidRPr="005021EC" w:rsidRDefault="00156262">
      <w:pPr>
        <w:ind w:left="0" w:hanging="2"/>
        <w:rPr>
          <w:sz w:val="20"/>
          <w:szCs w:val="20"/>
        </w:rPr>
      </w:pPr>
      <w:r w:rsidRPr="005021EC">
        <w:rPr>
          <w:sz w:val="20"/>
          <w:szCs w:val="20"/>
          <w:vertAlign w:val="superscript"/>
        </w:rPr>
        <w:footnoteRef/>
      </w:r>
      <w:r w:rsidRPr="005021EC">
        <w:rPr>
          <w:sz w:val="20"/>
          <w:szCs w:val="20"/>
        </w:rPr>
        <w:t xml:space="preserve"> se inviata, altrimenti cancellare</w:t>
      </w:r>
    </w:p>
  </w:footnote>
  <w:footnote w:id="18">
    <w:p w14:paraId="00000065" w14:textId="77777777" w:rsidR="009F2746" w:rsidRDefault="00156262">
      <w:pPr>
        <w:ind w:left="0" w:hanging="2"/>
      </w:pPr>
      <w:r w:rsidRPr="005021EC">
        <w:rPr>
          <w:sz w:val="20"/>
          <w:szCs w:val="20"/>
          <w:vertAlign w:val="superscript"/>
        </w:rPr>
        <w:footnoteRef/>
      </w:r>
      <w:r w:rsidRPr="005021EC">
        <w:rPr>
          <w:sz w:val="20"/>
          <w:szCs w:val="20"/>
        </w:rPr>
        <w:t xml:space="preserve"> uno solo dei 3</w:t>
      </w:r>
    </w:p>
  </w:footnote>
  <w:footnote w:id="19">
    <w:p w14:paraId="0000005B" w14:textId="4F5691C7" w:rsidR="009F2746" w:rsidRDefault="00156262">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w:t>
      </w:r>
      <w:r w:rsidR="00396E28">
        <w:rPr>
          <w:color w:val="000000"/>
          <w:sz w:val="20"/>
          <w:szCs w:val="20"/>
        </w:rPr>
        <w:t xml:space="preserve">Inserire se </w:t>
      </w:r>
      <w:r w:rsidR="00884A09">
        <w:rPr>
          <w:color w:val="000000"/>
          <w:sz w:val="20"/>
          <w:szCs w:val="20"/>
        </w:rPr>
        <w:t xml:space="preserve">è stata </w:t>
      </w:r>
      <w:r w:rsidR="00396E28">
        <w:rPr>
          <w:color w:val="000000"/>
          <w:sz w:val="20"/>
          <w:szCs w:val="20"/>
        </w:rPr>
        <w:t>richiesta la sospensiva</w:t>
      </w:r>
    </w:p>
  </w:footnote>
  <w:footnote w:id="20">
    <w:p w14:paraId="4C5AF610" w14:textId="24D08A97" w:rsidR="00EF4909" w:rsidRDefault="00EF4909">
      <w:pPr>
        <w:pStyle w:val="Testonotaapidipagina"/>
        <w:ind w:left="0" w:hanging="2"/>
      </w:pPr>
      <w:r>
        <w:rPr>
          <w:rStyle w:val="Rimandonotaapidipagina"/>
        </w:rPr>
        <w:footnoteRef/>
      </w:r>
      <w:r>
        <w:t xml:space="preserve"> Inserire se si rientra nella casistica del motivo 5), altrimenti cancellare</w:t>
      </w:r>
    </w:p>
  </w:footnote>
  <w:footnote w:id="21">
    <w:p w14:paraId="0000005C" w14:textId="77777777" w:rsidR="009F2746" w:rsidRDefault="00156262">
      <w:pPr>
        <w:pBdr>
          <w:top w:val="nil"/>
          <w:left w:val="nil"/>
          <w:bottom w:val="nil"/>
          <w:right w:val="nil"/>
          <w:between w:val="nil"/>
        </w:pBdr>
        <w:spacing w:line="240" w:lineRule="auto"/>
        <w:ind w:left="0" w:hanging="2"/>
        <w:rPr>
          <w:color w:val="000000"/>
          <w:sz w:val="20"/>
          <w:szCs w:val="20"/>
        </w:rPr>
      </w:pPr>
      <w:r>
        <w:rPr>
          <w:vertAlign w:val="superscript"/>
        </w:rPr>
        <w:footnoteRef/>
      </w:r>
      <w:r>
        <w:rPr>
          <w:color w:val="000000"/>
          <w:sz w:val="20"/>
          <w:szCs w:val="20"/>
        </w:rPr>
        <w:t xml:space="preserve"> Cancellare le parti in corsivo che non interessano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90ADC"/>
    <w:multiLevelType w:val="hybridMultilevel"/>
    <w:tmpl w:val="82D6C864"/>
    <w:lvl w:ilvl="0" w:tplc="0809000F">
      <w:start w:val="1"/>
      <w:numFmt w:val="decimal"/>
      <w:lvlText w:val="%1."/>
      <w:lvlJc w:val="left"/>
      <w:pPr>
        <w:ind w:left="718" w:hanging="360"/>
      </w:pPr>
    </w:lvl>
    <w:lvl w:ilvl="1" w:tplc="08090019" w:tentative="1">
      <w:start w:val="1"/>
      <w:numFmt w:val="lowerLetter"/>
      <w:lvlText w:val="%2."/>
      <w:lvlJc w:val="left"/>
      <w:pPr>
        <w:ind w:left="1438" w:hanging="360"/>
      </w:pPr>
    </w:lvl>
    <w:lvl w:ilvl="2" w:tplc="0809001B" w:tentative="1">
      <w:start w:val="1"/>
      <w:numFmt w:val="lowerRoman"/>
      <w:lvlText w:val="%3."/>
      <w:lvlJc w:val="right"/>
      <w:pPr>
        <w:ind w:left="2158" w:hanging="180"/>
      </w:pPr>
    </w:lvl>
    <w:lvl w:ilvl="3" w:tplc="0809000F" w:tentative="1">
      <w:start w:val="1"/>
      <w:numFmt w:val="decimal"/>
      <w:lvlText w:val="%4."/>
      <w:lvlJc w:val="left"/>
      <w:pPr>
        <w:ind w:left="2878" w:hanging="360"/>
      </w:pPr>
    </w:lvl>
    <w:lvl w:ilvl="4" w:tplc="08090019" w:tentative="1">
      <w:start w:val="1"/>
      <w:numFmt w:val="lowerLetter"/>
      <w:lvlText w:val="%5."/>
      <w:lvlJc w:val="left"/>
      <w:pPr>
        <w:ind w:left="3598" w:hanging="360"/>
      </w:pPr>
    </w:lvl>
    <w:lvl w:ilvl="5" w:tplc="0809001B" w:tentative="1">
      <w:start w:val="1"/>
      <w:numFmt w:val="lowerRoman"/>
      <w:lvlText w:val="%6."/>
      <w:lvlJc w:val="right"/>
      <w:pPr>
        <w:ind w:left="4318" w:hanging="180"/>
      </w:pPr>
    </w:lvl>
    <w:lvl w:ilvl="6" w:tplc="0809000F" w:tentative="1">
      <w:start w:val="1"/>
      <w:numFmt w:val="decimal"/>
      <w:lvlText w:val="%7."/>
      <w:lvlJc w:val="left"/>
      <w:pPr>
        <w:ind w:left="5038" w:hanging="360"/>
      </w:pPr>
    </w:lvl>
    <w:lvl w:ilvl="7" w:tplc="08090019" w:tentative="1">
      <w:start w:val="1"/>
      <w:numFmt w:val="lowerLetter"/>
      <w:lvlText w:val="%8."/>
      <w:lvlJc w:val="left"/>
      <w:pPr>
        <w:ind w:left="5758" w:hanging="360"/>
      </w:pPr>
    </w:lvl>
    <w:lvl w:ilvl="8" w:tplc="0809001B" w:tentative="1">
      <w:start w:val="1"/>
      <w:numFmt w:val="lowerRoman"/>
      <w:lvlText w:val="%9."/>
      <w:lvlJc w:val="right"/>
      <w:pPr>
        <w:ind w:left="6478" w:hanging="180"/>
      </w:pPr>
    </w:lvl>
  </w:abstractNum>
  <w:abstractNum w:abstractNumId="1" w15:restartNumberingAfterBreak="0">
    <w:nsid w:val="054B494C"/>
    <w:multiLevelType w:val="hybridMultilevel"/>
    <w:tmpl w:val="516ADD3A"/>
    <w:lvl w:ilvl="0" w:tplc="08090011">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E10C0C"/>
    <w:multiLevelType w:val="hybridMultilevel"/>
    <w:tmpl w:val="6330BAA2"/>
    <w:lvl w:ilvl="0" w:tplc="2E1408FE">
      <w:start w:val="1"/>
      <w:numFmt w:val="lowerLetter"/>
      <w:lvlText w:val="%1)"/>
      <w:lvlJc w:val="left"/>
      <w:pPr>
        <w:ind w:left="720" w:hanging="360"/>
      </w:pPr>
      <w:rPr>
        <w:rFonts w:hint="default"/>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3873AC"/>
    <w:multiLevelType w:val="multilevel"/>
    <w:tmpl w:val="A2F03A6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69232091"/>
    <w:multiLevelType w:val="multilevel"/>
    <w:tmpl w:val="35BCC26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746"/>
    <w:rsid w:val="0004419C"/>
    <w:rsid w:val="00065DC1"/>
    <w:rsid w:val="00156262"/>
    <w:rsid w:val="001758E2"/>
    <w:rsid w:val="002F32D1"/>
    <w:rsid w:val="00396E28"/>
    <w:rsid w:val="003B41B5"/>
    <w:rsid w:val="003F5272"/>
    <w:rsid w:val="003F7401"/>
    <w:rsid w:val="00404DA8"/>
    <w:rsid w:val="004D0414"/>
    <w:rsid w:val="005021EC"/>
    <w:rsid w:val="0058439D"/>
    <w:rsid w:val="00650AA2"/>
    <w:rsid w:val="00686D4A"/>
    <w:rsid w:val="006A68E9"/>
    <w:rsid w:val="006C0694"/>
    <w:rsid w:val="006C7F59"/>
    <w:rsid w:val="007F5199"/>
    <w:rsid w:val="00884A09"/>
    <w:rsid w:val="008F3E2E"/>
    <w:rsid w:val="009F2746"/>
    <w:rsid w:val="00A11FED"/>
    <w:rsid w:val="00A31527"/>
    <w:rsid w:val="00A75262"/>
    <w:rsid w:val="00B54DB2"/>
    <w:rsid w:val="00B60260"/>
    <w:rsid w:val="00B90C0E"/>
    <w:rsid w:val="00C4010D"/>
    <w:rsid w:val="00D271FD"/>
    <w:rsid w:val="00D54EBD"/>
    <w:rsid w:val="00DB067A"/>
    <w:rsid w:val="00E50BDE"/>
    <w:rsid w:val="00EB4124"/>
    <w:rsid w:val="00EB52FB"/>
    <w:rsid w:val="00EF4909"/>
    <w:rsid w:val="00F7172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E28B6"/>
  <w15:docId w15:val="{B4AAE548-2B31-4017-BA48-1DE68986DA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spacing w:line="1" w:lineRule="atLeast"/>
      <w:ind w:leftChars="-1" w:left="-1" w:hangingChars="1" w:hanging="1"/>
      <w:textDirection w:val="btLr"/>
      <w:textAlignment w:val="top"/>
      <w:outlineLvl w:val="0"/>
    </w:pPr>
    <w:rPr>
      <w:position w:val="-1"/>
      <w:sz w:val="24"/>
      <w:szCs w:val="24"/>
    </w:rPr>
  </w:style>
  <w:style w:type="paragraph" w:styleId="Titolo1">
    <w:name w:val="heading 1"/>
    <w:basedOn w:val="Normale"/>
    <w:next w:val="Normale"/>
    <w:uiPriority w:val="9"/>
    <w:qFormat/>
    <w:pPr>
      <w:keepNext/>
      <w:spacing w:line="480" w:lineRule="auto"/>
      <w:ind w:right="1358"/>
      <w:jc w:val="center"/>
    </w:pPr>
    <w:rPr>
      <w:sz w:val="28"/>
      <w:u w:val="single"/>
    </w:rPr>
  </w:style>
  <w:style w:type="paragraph" w:styleId="Titolo2">
    <w:name w:val="heading 2"/>
    <w:basedOn w:val="Normale"/>
    <w:next w:val="Normale"/>
    <w:uiPriority w:val="9"/>
    <w:semiHidden/>
    <w:unhideWhenUsed/>
    <w:qFormat/>
    <w:pPr>
      <w:keepNext/>
      <w:spacing w:before="240" w:after="60"/>
      <w:outlineLvl w:val="1"/>
    </w:pPr>
    <w:rPr>
      <w:rFonts w:ascii="Cambria" w:hAnsi="Cambria"/>
      <w:b/>
      <w:bCs/>
      <w:i/>
      <w:iCs/>
      <w:sz w:val="28"/>
      <w:szCs w:val="28"/>
    </w:rPr>
  </w:style>
  <w:style w:type="paragraph" w:styleId="Titolo3">
    <w:name w:val="heading 3"/>
    <w:basedOn w:val="Normale"/>
    <w:next w:val="Normale"/>
    <w:uiPriority w:val="9"/>
    <w:semiHidden/>
    <w:unhideWhenUsed/>
    <w:qFormat/>
    <w:pPr>
      <w:keepNext/>
      <w:spacing w:before="240" w:after="60"/>
      <w:outlineLvl w:val="2"/>
    </w:pPr>
    <w:rPr>
      <w:rFonts w:ascii="Arial" w:hAnsi="Arial" w:cs="Arial"/>
      <w:b/>
      <w:bCs/>
      <w:sz w:val="26"/>
      <w:szCs w:val="26"/>
    </w:rPr>
  </w:style>
  <w:style w:type="paragraph" w:styleId="Titolo4">
    <w:name w:val="heading 4"/>
    <w:basedOn w:val="Normale"/>
    <w:next w:val="Normale"/>
    <w:uiPriority w:val="9"/>
    <w:semiHidden/>
    <w:unhideWhenUsed/>
    <w:qFormat/>
    <w:pPr>
      <w:keepNext/>
      <w:spacing w:before="240" w:after="60"/>
      <w:outlineLvl w:val="3"/>
    </w:pPr>
    <w:rPr>
      <w:b/>
      <w:bCs/>
      <w:sz w:val="28"/>
      <w:szCs w:val="28"/>
    </w:rPr>
  </w:style>
  <w:style w:type="paragraph" w:styleId="Titolo5">
    <w:name w:val="heading 5"/>
    <w:basedOn w:val="Normale"/>
    <w:next w:val="Normale"/>
    <w:uiPriority w:val="9"/>
    <w:semiHidden/>
    <w:unhideWhenUsed/>
    <w:qFormat/>
    <w:pPr>
      <w:spacing w:before="240" w:after="60"/>
      <w:outlineLvl w:val="4"/>
    </w:pPr>
    <w:rPr>
      <w:rFonts w:ascii="Calibri" w:hAnsi="Calibri"/>
      <w:b/>
      <w:bCs/>
      <w:i/>
      <w:iCs/>
      <w:sz w:val="26"/>
      <w:szCs w:val="26"/>
    </w:rPr>
  </w:style>
  <w:style w:type="paragraph" w:styleId="Titolo6">
    <w:name w:val="heading 6"/>
    <w:basedOn w:val="Normale"/>
    <w:next w:val="Normale"/>
    <w:uiPriority w:val="9"/>
    <w:semiHidden/>
    <w:unhideWhenUsed/>
    <w:qFormat/>
    <w:pPr>
      <w:spacing w:before="240" w:after="60"/>
      <w:outlineLvl w:val="5"/>
    </w:pPr>
    <w:rPr>
      <w:rFonts w:ascii="Calibri" w:hAnsi="Calibri"/>
      <w:b/>
      <w:bCs/>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pPr>
      <w:jc w:val="center"/>
    </w:pPr>
    <w:rPr>
      <w:b/>
      <w:caps/>
      <w:szCs w:val="20"/>
    </w:rPr>
  </w:style>
  <w:style w:type="paragraph" w:customStyle="1" w:styleId="Corpodeltesto">
    <w:name w:val="Corpo del testo"/>
    <w:basedOn w:val="Normale"/>
    <w:pPr>
      <w:spacing w:line="480" w:lineRule="auto"/>
      <w:jc w:val="both"/>
    </w:pPr>
  </w:style>
  <w:style w:type="paragraph" w:styleId="Rientrocorpodeltesto">
    <w:name w:val="Body Text Indent"/>
    <w:basedOn w:val="Normale"/>
    <w:pPr>
      <w:spacing w:line="360" w:lineRule="auto"/>
      <w:ind w:right="1358"/>
      <w:jc w:val="center"/>
    </w:pPr>
    <w:rPr>
      <w:b/>
      <w:bCs/>
    </w:rPr>
  </w:style>
  <w:style w:type="paragraph" w:styleId="Corpodeltesto3">
    <w:name w:val="Body Text 3"/>
    <w:basedOn w:val="Normale"/>
    <w:pPr>
      <w:spacing w:after="120"/>
    </w:pPr>
    <w:rPr>
      <w:sz w:val="16"/>
      <w:szCs w:val="16"/>
    </w:rPr>
  </w:style>
  <w:style w:type="paragraph" w:styleId="Testodelblocco">
    <w:name w:val="Block Text"/>
    <w:basedOn w:val="Normale"/>
    <w:pPr>
      <w:spacing w:line="360" w:lineRule="auto"/>
      <w:ind w:left="567" w:right="567"/>
      <w:jc w:val="center"/>
    </w:pPr>
    <w:rPr>
      <w:b/>
      <w:szCs w:val="20"/>
    </w:rPr>
  </w:style>
  <w:style w:type="paragraph" w:styleId="Corpodeltesto2">
    <w:name w:val="Body Text 2"/>
    <w:basedOn w:val="Normale"/>
    <w:pPr>
      <w:spacing w:after="120" w:line="480" w:lineRule="auto"/>
    </w:pPr>
  </w:style>
  <w:style w:type="paragraph" w:customStyle="1" w:styleId="WW-Corpodeltesto3">
    <w:name w:val="WW-Corpo del testo 3"/>
    <w:basedOn w:val="Normale"/>
    <w:pPr>
      <w:suppressAutoHyphens w:val="0"/>
      <w:spacing w:line="360" w:lineRule="auto"/>
      <w:ind w:right="-1244"/>
    </w:pPr>
    <w:rPr>
      <w:rFonts w:ascii="Book Antiqua" w:hAnsi="Book Antiqua"/>
      <w:sz w:val="22"/>
      <w:szCs w:val="22"/>
      <w:lang w:eastAsia="ar-SA"/>
    </w:rPr>
  </w:style>
  <w:style w:type="character" w:styleId="Collegamentoipertestuale">
    <w:name w:val="Hyperlink"/>
    <w:basedOn w:val="Carpredefinitoparagrafo"/>
    <w:rPr>
      <w:color w:val="0000FF"/>
      <w:w w:val="100"/>
      <w:position w:val="-1"/>
      <w:u w:val="single"/>
      <w:effect w:val="none"/>
      <w:vertAlign w:val="baseline"/>
      <w:cs w:val="0"/>
      <w:em w:val="none"/>
    </w:rPr>
  </w:style>
  <w:style w:type="paragraph" w:styleId="NormaleWeb">
    <w:name w:val="Normal (Web)"/>
    <w:basedOn w:val="Normale"/>
    <w:pPr>
      <w:spacing w:before="100" w:beforeAutospacing="1" w:after="119"/>
    </w:pPr>
    <w:rPr>
      <w:lang w:eastAsia="zh-CN"/>
    </w:rPr>
  </w:style>
  <w:style w:type="paragraph" w:styleId="Paragrafoelenco">
    <w:name w:val="List Paragraph"/>
    <w:basedOn w:val="Normale"/>
    <w:pPr>
      <w:ind w:left="720"/>
      <w:contextualSpacing/>
    </w:pPr>
  </w:style>
  <w:style w:type="character" w:styleId="Rimandocommento">
    <w:name w:val="annotation reference"/>
    <w:basedOn w:val="Carpredefinitoparagrafo"/>
    <w:qFormat/>
    <w:rPr>
      <w:w w:val="100"/>
      <w:position w:val="-1"/>
      <w:sz w:val="16"/>
      <w:szCs w:val="16"/>
      <w:effect w:val="none"/>
      <w:vertAlign w:val="baseline"/>
      <w:cs w:val="0"/>
      <w:em w:val="none"/>
    </w:rPr>
  </w:style>
  <w:style w:type="paragraph" w:styleId="Testocommento">
    <w:name w:val="annotation text"/>
    <w:basedOn w:val="Normale"/>
    <w:qFormat/>
    <w:rPr>
      <w:sz w:val="20"/>
      <w:szCs w:val="20"/>
    </w:rPr>
  </w:style>
  <w:style w:type="character" w:customStyle="1" w:styleId="TestocommentoCarattere">
    <w:name w:val="Testo commento Carattere"/>
    <w:basedOn w:val="Carpredefinitoparagrafo"/>
    <w:rPr>
      <w:w w:val="100"/>
      <w:position w:val="-1"/>
      <w:effect w:val="none"/>
      <w:vertAlign w:val="baseline"/>
      <w:cs w:val="0"/>
      <w:em w:val="none"/>
    </w:rPr>
  </w:style>
  <w:style w:type="paragraph" w:styleId="Soggettocommento">
    <w:name w:val="annotation subject"/>
    <w:basedOn w:val="Testocommento"/>
    <w:next w:val="Testocommento"/>
    <w:qFormat/>
    <w:rPr>
      <w:b/>
      <w:bCs/>
    </w:rPr>
  </w:style>
  <w:style w:type="character" w:customStyle="1" w:styleId="SoggettocommentoCarattere">
    <w:name w:val="Soggetto commento Carattere"/>
    <w:basedOn w:val="TestocommentoCarattere"/>
    <w:rPr>
      <w:b/>
      <w:bCs/>
      <w:w w:val="100"/>
      <w:position w:val="-1"/>
      <w:effect w:val="none"/>
      <w:vertAlign w:val="baseline"/>
      <w:cs w:val="0"/>
      <w:em w:val="none"/>
    </w:rPr>
  </w:style>
  <w:style w:type="paragraph" w:styleId="Testofumetto">
    <w:name w:val="Balloon Text"/>
    <w:basedOn w:val="Normale"/>
    <w:qFormat/>
    <w:rPr>
      <w:rFonts w:ascii="Tahoma" w:hAnsi="Tahoma" w:cs="Tahoma"/>
      <w:sz w:val="16"/>
      <w:szCs w:val="16"/>
    </w:rPr>
  </w:style>
  <w:style w:type="character" w:customStyle="1" w:styleId="TestofumettoCarattere">
    <w:name w:val="Testo fumetto Carattere"/>
    <w:basedOn w:val="Carpredefinitoparagrafo"/>
    <w:rPr>
      <w:rFonts w:ascii="Tahoma" w:hAnsi="Tahoma" w:cs="Tahoma"/>
      <w:w w:val="100"/>
      <w:position w:val="-1"/>
      <w:sz w:val="16"/>
      <w:szCs w:val="16"/>
      <w:effect w:val="none"/>
      <w:vertAlign w:val="baseline"/>
      <w:cs w:val="0"/>
      <w:em w:val="none"/>
    </w:rPr>
  </w:style>
  <w:style w:type="character" w:styleId="Rimandonotaapidipagina">
    <w:name w:val="footnote reference"/>
    <w:basedOn w:val="Carpredefinitoparagrafo"/>
    <w:qFormat/>
    <w:rPr>
      <w:w w:val="100"/>
      <w:position w:val="-1"/>
      <w:effect w:val="none"/>
      <w:vertAlign w:val="superscript"/>
      <w:cs w:val="0"/>
      <w:em w:val="none"/>
    </w:r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character" w:customStyle="1" w:styleId="TitoloCarattere">
    <w:name w:val="Titolo Carattere"/>
    <w:basedOn w:val="Carpredefinitoparagrafo"/>
    <w:rPr>
      <w:b/>
      <w:caps/>
      <w:w w:val="100"/>
      <w:position w:val="-1"/>
      <w:sz w:val="24"/>
      <w:effect w:val="none"/>
      <w:vertAlign w:val="baseline"/>
      <w:cs w:val="0"/>
      <w:em w:val="none"/>
    </w:rPr>
  </w:style>
  <w:style w:type="character" w:customStyle="1" w:styleId="Corpodeltesto2Carattere">
    <w:name w:val="Corpo del testo 2 Carattere"/>
    <w:basedOn w:val="Carpredefinitoparagrafo"/>
    <w:rPr>
      <w:w w:val="100"/>
      <w:position w:val="-1"/>
      <w:sz w:val="24"/>
      <w:szCs w:val="24"/>
      <w:effect w:val="none"/>
      <w:vertAlign w:val="baseline"/>
      <w:cs w:val="0"/>
      <w:em w:val="none"/>
    </w:rPr>
  </w:style>
  <w:style w:type="character" w:customStyle="1" w:styleId="apple-converted-space">
    <w:name w:val="apple-converted-space"/>
    <w:basedOn w:val="Carpredefinitoparagrafo"/>
    <w:rPr>
      <w:w w:val="100"/>
      <w:position w:val="-1"/>
      <w:effect w:val="none"/>
      <w:vertAlign w:val="baseline"/>
      <w:cs w:val="0"/>
      <w:em w:val="none"/>
    </w:rPr>
  </w:style>
  <w:style w:type="paragraph" w:customStyle="1" w:styleId="Pa9">
    <w:name w:val="Pa9"/>
    <w:basedOn w:val="Normale"/>
    <w:next w:val="Normale"/>
    <w:pPr>
      <w:autoSpaceDE w:val="0"/>
      <w:autoSpaceDN w:val="0"/>
      <w:adjustRightInd w:val="0"/>
      <w:spacing w:line="221" w:lineRule="atLeast"/>
    </w:pPr>
    <w:rPr>
      <w:rFonts w:ascii="Amnesty Trade Gothic" w:hAnsi="Amnesty Trade Gothic"/>
    </w:rPr>
  </w:style>
  <w:style w:type="character" w:customStyle="1" w:styleId="A4">
    <w:name w:val="A4"/>
    <w:rPr>
      <w:color w:val="000000"/>
      <w:w w:val="100"/>
      <w:position w:val="-1"/>
      <w:sz w:val="22"/>
      <w:szCs w:val="22"/>
      <w:effect w:val="none"/>
      <w:vertAlign w:val="baseline"/>
      <w:cs w:val="0"/>
      <w:em w:val="none"/>
    </w:rPr>
  </w:style>
  <w:style w:type="character" w:customStyle="1" w:styleId="A9">
    <w:name w:val="A9"/>
    <w:rPr>
      <w:color w:val="000000"/>
      <w:w w:val="100"/>
      <w:position w:val="-1"/>
      <w:sz w:val="12"/>
      <w:szCs w:val="12"/>
      <w:effect w:val="none"/>
      <w:vertAlign w:val="baseline"/>
      <w:cs w:val="0"/>
      <w:em w:val="none"/>
    </w:rPr>
  </w:style>
  <w:style w:type="character" w:customStyle="1" w:styleId="A10">
    <w:name w:val="A10"/>
    <w:rPr>
      <w:color w:val="000000"/>
      <w:w w:val="100"/>
      <w:position w:val="-1"/>
      <w:sz w:val="8"/>
      <w:szCs w:val="8"/>
      <w:effect w:val="none"/>
      <w:vertAlign w:val="baseline"/>
      <w:cs w:val="0"/>
      <w:em w:val="none"/>
    </w:rPr>
  </w:style>
  <w:style w:type="character" w:customStyle="1" w:styleId="A11">
    <w:name w:val="A11"/>
    <w:rPr>
      <w:color w:val="000000"/>
      <w:w w:val="100"/>
      <w:position w:val="-1"/>
      <w:sz w:val="14"/>
      <w:szCs w:val="14"/>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Calibri" w:hAnsi="Calibri" w:cs="Calibri"/>
      <w:color w:val="000000"/>
      <w:position w:val="-1"/>
      <w:sz w:val="24"/>
      <w:szCs w:val="24"/>
    </w:rPr>
  </w:style>
  <w:style w:type="character" w:styleId="Enfasigrassetto">
    <w:name w:val="Strong"/>
    <w:basedOn w:val="Carpredefinitoparagrafo"/>
    <w:rPr>
      <w:b/>
      <w:bCs/>
      <w:w w:val="100"/>
      <w:position w:val="-1"/>
      <w:effect w:val="none"/>
      <w:vertAlign w:val="baseline"/>
      <w:cs w:val="0"/>
      <w:em w:val="none"/>
    </w:rPr>
  </w:style>
  <w:style w:type="character" w:customStyle="1" w:styleId="Titolo2Carattere">
    <w:name w:val="Titolo 2 Carattere"/>
    <w:basedOn w:val="Carpredefinitoparagrafo"/>
    <w:rPr>
      <w:rFonts w:ascii="Cambria" w:eastAsia="Times New Roman" w:hAnsi="Cambria" w:cs="Times New Roman"/>
      <w:b/>
      <w:bCs/>
      <w:i/>
      <w:iCs/>
      <w:w w:val="100"/>
      <w:position w:val="-1"/>
      <w:sz w:val="28"/>
      <w:szCs w:val="28"/>
      <w:effect w:val="none"/>
      <w:vertAlign w:val="baseline"/>
      <w:cs w:val="0"/>
      <w:em w:val="none"/>
    </w:rPr>
  </w:style>
  <w:style w:type="character" w:customStyle="1" w:styleId="Titolo6Carattere">
    <w:name w:val="Titolo 6 Carattere"/>
    <w:basedOn w:val="Carpredefinitoparagrafo"/>
    <w:rPr>
      <w:rFonts w:ascii="Calibri" w:eastAsia="Times New Roman" w:hAnsi="Calibri" w:cs="Times New Roman"/>
      <w:b/>
      <w:bCs/>
      <w:w w:val="100"/>
      <w:position w:val="-1"/>
      <w:sz w:val="22"/>
      <w:szCs w:val="22"/>
      <w:effect w:val="none"/>
      <w:vertAlign w:val="baseline"/>
      <w:cs w:val="0"/>
      <w:em w:val="none"/>
    </w:rPr>
  </w:style>
  <w:style w:type="character" w:styleId="Enfasicorsivo">
    <w:name w:val="Emphasis"/>
    <w:basedOn w:val="Carpredefinitoparagrafo"/>
    <w:rPr>
      <w:i/>
      <w:iCs/>
      <w:w w:val="100"/>
      <w:position w:val="-1"/>
      <w:effect w:val="none"/>
      <w:vertAlign w:val="baseline"/>
      <w:cs w:val="0"/>
      <w:em w:val="none"/>
    </w:rPr>
  </w:style>
  <w:style w:type="character" w:customStyle="1" w:styleId="subscribe-nl-arttitle">
    <w:name w:val="subscribe-nl-art__title"/>
    <w:basedOn w:val="Carpredefinitoparagrafo"/>
    <w:rPr>
      <w:w w:val="100"/>
      <w:position w:val="-1"/>
      <w:effect w:val="none"/>
      <w:vertAlign w:val="baseline"/>
      <w:cs w:val="0"/>
      <w:em w:val="none"/>
    </w:rPr>
  </w:style>
  <w:style w:type="character" w:customStyle="1" w:styleId="subscribe-nl-arttext">
    <w:name w:val="subscribe-nl-art__text"/>
    <w:basedOn w:val="Carpredefinitoparagrafo"/>
    <w:rPr>
      <w:w w:val="100"/>
      <w:position w:val="-1"/>
      <w:effect w:val="none"/>
      <w:vertAlign w:val="baseline"/>
      <w:cs w:val="0"/>
      <w:em w:val="none"/>
    </w:rPr>
  </w:style>
  <w:style w:type="character" w:customStyle="1" w:styleId="leavecommentlinktext">
    <w:name w:val="leavecomment__link__text"/>
    <w:basedOn w:val="Carpredefinitoparagrafo"/>
    <w:rPr>
      <w:w w:val="100"/>
      <w:position w:val="-1"/>
      <w:effect w:val="none"/>
      <w:vertAlign w:val="baseline"/>
      <w:cs w:val="0"/>
      <w:em w:val="none"/>
    </w:rPr>
  </w:style>
  <w:style w:type="character" w:customStyle="1" w:styleId="st">
    <w:name w:val="st"/>
    <w:basedOn w:val="Carpredefinitoparagrafo"/>
    <w:rPr>
      <w:w w:val="100"/>
      <w:position w:val="-1"/>
      <w:effect w:val="none"/>
      <w:vertAlign w:val="baseline"/>
      <w:cs w:val="0"/>
      <w:em w:val="none"/>
    </w:rPr>
  </w:style>
  <w:style w:type="character" w:customStyle="1" w:styleId="acopre">
    <w:name w:val="acopre"/>
    <w:basedOn w:val="Carpredefinitoparagrafo"/>
    <w:rPr>
      <w:w w:val="100"/>
      <w:position w:val="-1"/>
      <w:effect w:val="none"/>
      <w:vertAlign w:val="baseline"/>
      <w:cs w:val="0"/>
      <w:em w:val="none"/>
    </w:rPr>
  </w:style>
  <w:style w:type="paragraph" w:customStyle="1" w:styleId="Standard">
    <w:name w:val="Standard"/>
    <w:pPr>
      <w:widowControl w:val="0"/>
      <w:autoSpaceDN w:val="0"/>
      <w:spacing w:line="1" w:lineRule="atLeast"/>
      <w:ind w:leftChars="-1" w:left="-1" w:hangingChars="1" w:hanging="1"/>
      <w:textDirection w:val="btLr"/>
      <w:textAlignment w:val="baseline"/>
      <w:outlineLvl w:val="0"/>
    </w:pPr>
    <w:rPr>
      <w:kern w:val="3"/>
      <w:position w:val="-1"/>
      <w:sz w:val="24"/>
      <w:szCs w:val="24"/>
      <w:lang w:eastAsia="zh-CN" w:bidi="hi-IN"/>
    </w:rPr>
  </w:style>
  <w:style w:type="character" w:customStyle="1" w:styleId="alink">
    <w:name w:val="a_link"/>
    <w:basedOn w:val="Carpredefinitoparagrafo"/>
    <w:rPr>
      <w:color w:val="000000"/>
      <w:w w:val="100"/>
      <w:position w:val="-1"/>
      <w:effect w:val="none"/>
      <w:vertAlign w:val="baseline"/>
      <w:cs w:val="0"/>
      <w:em w:val="none"/>
    </w:rPr>
  </w:style>
  <w:style w:type="character" w:customStyle="1" w:styleId="autorita-documento">
    <w:name w:val="autorita-documento"/>
    <w:basedOn w:val="Carpredefinitoparagrafo"/>
    <w:rPr>
      <w:w w:val="100"/>
      <w:position w:val="-1"/>
      <w:sz w:val="29"/>
      <w:szCs w:val="29"/>
      <w:effect w:val="none"/>
      <w:vertAlign w:val="baseline"/>
      <w:cs w:val="0"/>
      <w:em w:val="none"/>
    </w:rPr>
  </w:style>
  <w:style w:type="paragraph" w:styleId="Intestazione">
    <w:name w:val="header"/>
    <w:basedOn w:val="Normale"/>
    <w:qFormat/>
    <w:pPr>
      <w:tabs>
        <w:tab w:val="center" w:pos="4819"/>
        <w:tab w:val="right" w:pos="9638"/>
      </w:tabs>
    </w:pPr>
  </w:style>
  <w:style w:type="character" w:customStyle="1" w:styleId="IntestazioneCarattere">
    <w:name w:val="Intestazione Carattere"/>
    <w:basedOn w:val="Carpredefinitoparagrafo"/>
    <w:rPr>
      <w:w w:val="100"/>
      <w:position w:val="-1"/>
      <w:sz w:val="24"/>
      <w:szCs w:val="24"/>
      <w:effect w:val="none"/>
      <w:vertAlign w:val="baseline"/>
      <w:cs w:val="0"/>
      <w:em w:val="none"/>
    </w:rPr>
  </w:style>
  <w:style w:type="character" w:customStyle="1" w:styleId="PidipaginaCarattere">
    <w:name w:val="Piè di pagina Carattere"/>
    <w:basedOn w:val="Carpredefinitoparagrafo"/>
    <w:rPr>
      <w:w w:val="100"/>
      <w:position w:val="-1"/>
      <w:sz w:val="24"/>
      <w:szCs w:val="24"/>
      <w:effect w:val="none"/>
      <w:vertAlign w:val="baseline"/>
      <w:cs w:val="0"/>
      <w:em w:val="none"/>
    </w:rPr>
  </w:style>
  <w:style w:type="paragraph" w:customStyle="1" w:styleId="Textbody">
    <w:name w:val="Text body"/>
    <w:basedOn w:val="Standard"/>
    <w:pPr>
      <w:spacing w:line="480" w:lineRule="atLeast"/>
      <w:jc w:val="both"/>
    </w:pPr>
    <w:rPr>
      <w:color w:val="000000"/>
      <w:sz w:val="22"/>
      <w:szCs w:val="22"/>
      <w:lang w:val="en-US" w:bidi="en-US"/>
    </w:rPr>
  </w:style>
  <w:style w:type="character" w:customStyle="1" w:styleId="Titolo5Carattere">
    <w:name w:val="Titolo 5 Carattere"/>
    <w:basedOn w:val="Carpredefinitoparagrafo"/>
    <w:rPr>
      <w:rFonts w:ascii="Calibri" w:eastAsia="Times New Roman" w:hAnsi="Calibri" w:cs="Times New Roman"/>
      <w:b/>
      <w:bCs/>
      <w:i/>
      <w:iCs/>
      <w:w w:val="100"/>
      <w:position w:val="-1"/>
      <w:sz w:val="26"/>
      <w:szCs w:val="26"/>
      <w:effect w:val="none"/>
      <w:vertAlign w:val="baseline"/>
      <w:cs w:val="0"/>
      <w:em w:val="none"/>
    </w:rPr>
  </w:style>
  <w:style w:type="paragraph" w:styleId="Testonotaapidipagina">
    <w:name w:val="footnote text"/>
    <w:basedOn w:val="Normale"/>
    <w:qFormat/>
    <w:rPr>
      <w:sz w:val="20"/>
      <w:szCs w:val="20"/>
    </w:rPr>
  </w:style>
  <w:style w:type="character" w:customStyle="1" w:styleId="TestonotaapidipaginaCarattere">
    <w:name w:val="Testo nota a piè di pagina Carattere"/>
    <w:basedOn w:val="Carpredefinitoparagrafo"/>
    <w:rPr>
      <w:w w:val="100"/>
      <w:position w:val="-1"/>
      <w:effect w:val="none"/>
      <w:vertAlign w:val="baseline"/>
      <w:cs w:val="0"/>
      <w:em w:val="none"/>
    </w:rPr>
  </w:style>
  <w:style w:type="paragraph" w:styleId="PreformattatoHTML">
    <w:name w:val="HTML Preformatted"/>
    <w:basedOn w:val="Normale"/>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tatoHTMLCarattere">
    <w:name w:val="Preformattato HTML Carattere"/>
    <w:basedOn w:val="Carpredefinitoparagrafo"/>
    <w:rPr>
      <w:rFonts w:ascii="Courier New" w:hAnsi="Courier New" w:cs="Courier New"/>
      <w:w w:val="100"/>
      <w:position w:val="-1"/>
      <w:effect w:val="none"/>
      <w:vertAlign w:val="baseline"/>
      <w:cs w:val="0"/>
      <w:em w:val="none"/>
    </w:rPr>
  </w:style>
  <w:style w:type="character" w:customStyle="1" w:styleId="apple-tab-span">
    <w:name w:val="apple-tab-span"/>
    <w:basedOn w:val="Carpredefinitoparagrafo"/>
    <w:rPr>
      <w:w w:val="100"/>
      <w:position w:val="-1"/>
      <w:effect w:val="none"/>
      <w:vertAlign w:val="baseline"/>
      <w:cs w:val="0"/>
      <w:em w:val="none"/>
    </w:r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protezionedatipersonali.it/profilazio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r+fENeZTmK8R2OVWXEeMNW15EA==">AMUW2mX/9/CVTfLWiUm54KOG1XdwL5RmLfGaRTozdQ2WkuW/oX+C5wwHyPg+9BUV/860r5rI/m3y1VZ2kGBkHtScjktBFut3jle2d67S85b4YSd7ZNR0hdQ=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D8A7B9A-92BB-40EC-B3D1-37916C5861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5098</Words>
  <Characters>29060</Characters>
  <Application>Microsoft Office Word</Application>
  <DocSecurity>0</DocSecurity>
  <Lines>242</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Rosaria Faggiano</dc:creator>
  <cp:lastModifiedBy>Angelo Di Lorenzo</cp:lastModifiedBy>
  <cp:revision>2</cp:revision>
  <dcterms:created xsi:type="dcterms:W3CDTF">2024-07-08T10:13:00Z</dcterms:created>
  <dcterms:modified xsi:type="dcterms:W3CDTF">2024-07-08T10:13:00Z</dcterms:modified>
</cp:coreProperties>
</file>